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31"/>
        <w:gridCol w:w="2835"/>
      </w:tblGrid>
      <w:tr>
        <w:tc>
          <w:tcPr>
            <w:tcW w:type="dxa" w:w="7031"/>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pPr>
            <w:r>
              <w:rPr>
                <w:rFonts w:ascii="Calibri" w:cs="Calibri" w:eastAsia="Calibri" w:hAnsi="Calibri"/>
                <w:b/>
                <w:bCs/>
                <w:color w:val="B26A0F"/>
                <w:sz w:val="18"/>
                <w:szCs w:val="18"/>
              </w:rPr>
              <w:t xml:space="preserve">Lehrkraft-Handreichung</w:t>
            </w:r>
            <w:r>
              <w:rPr>
                <w:rFonts w:ascii="Calibri" w:cs="Calibri" w:eastAsia="Calibri" w:hAnsi="Calibri"/>
                <w:color w:val="5B6770"/>
                <w:sz w:val="18"/>
                <w:szCs w:val="18"/>
              </w:rPr>
              <w:t xml:space="preserve">   Level 8  ·  Welt B · Grenzen &amp; Keller  ·  Niveau: Zusatz (über das KC hinaus)</w:t>
            </w:r>
          </w:p>
          <w:p>
            <w:pPr>
              <w:spacing w:after="40" w:before="20"/>
            </w:pPr>
            <w:r>
              <w:rPr>
                <w:rFonts w:ascii="Cambria" w:cs="Cambria" w:eastAsia="Cambria" w:hAnsi="Cambria"/>
                <w:b/>
                <w:bCs/>
                <w:color w:val="0E6455"/>
                <w:sz w:val="40"/>
                <w:szCs w:val="40"/>
              </w:rPr>
              <w:t xml:space="preserve">Raten erlaubt</w:t>
            </w:r>
          </w:p>
          <w:p>
            <w:pPr>
              <w:spacing w:after="0"/>
            </w:pPr>
            <w:r>
              <w:rPr>
                <w:rFonts w:ascii="Calibri" w:cs="Calibri" w:eastAsia="Calibri" w:hAnsi="Calibri"/>
                <w:color w:val="5B6770"/>
                <w:sz w:val="22"/>
                <w:szCs w:val="22"/>
              </w:rPr>
              <w:t xml:space="preserve">Nichtdeterministische endliche Automaten (NEA) als Brücke</w:t>
            </w:r>
          </w:p>
        </w:tc>
        <w:tc>
          <w:tcPr>
            <w:tcW w:type="dxa" w:w="2835"/>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jc w:val="right"/>
            </w:pPr>
            <w:r>
              <w:rPr>
                <w:rFonts w:ascii="Calibri" w:cs="Calibri" w:eastAsia="Calibri" w:hAnsi="Calibri"/>
                <w:color w:val="5B6770"/>
                <w:sz w:val="18"/>
                <w:szCs w:val="18"/>
              </w:rPr>
              <w:t xml:space="preserve">Informatik · Zusatz</w:t>
            </w:r>
          </w:p>
        </w:tc>
      </w:tr>
    </w:tbl>
    <w:p>
      <w:pPr>
        <w:pBdr>
          <w:bottom w:val="single" w:color="0E6455" w:sz="12" w:space="1"/>
        </w:pBdr>
        <w:spacing w:after="200" w:before="60"/>
      </w:pPr>
    </w:p>
    <w:tbl>
      <w:tblPr>
        <w:tblW w:type="dxa" w:w="9866"/>
        <w:tblBorders>
          <w:top w:val="single" w:color="F8ECDB" w:sz="6"/>
          <w:left w:val="single" w:color="F8ECDB" w:sz="6"/>
          <w:bottom w:val="single" w:color="F8ECDB" w:sz="6"/>
          <w:right w:val="single" w:color="F8ECDB" w:sz="6"/>
          <w:insideH w:val="none" w:color="FFFFFF" w:sz="0"/>
          <w:insideV w:val="none" w:color="FFFFFF" w:sz="0"/>
        </w:tblBorders>
        <w:tblLayout w:type="fixed"/>
      </w:tblPr>
      <w:tblGrid>
        <w:gridCol w:w="9866"/>
      </w:tblGrid>
      <w:tr>
        <w:trPr>
          <w:cantSplit/>
        </w:trPr>
        <w:tc>
          <w:tcPr>
            <w:tcW w:type="dxa" w:w="9866"/>
            <w:shd w:fill="FCF6EE" w:color="auto" w:val="clear"/>
            <w:tcMar>
              <w:top w:type="dxa" w:w="120"/>
              <w:left w:type="dxa" w:w="200"/>
              <w:bottom w:type="dxa" w:w="100"/>
              <w:right w:type="dxa" w:w="200"/>
            </w:tcMar>
            <w:vAlign w:val="top"/>
          </w:tcPr>
          <w:p>
            <w:pPr>
              <w:spacing w:after="0"/>
            </w:pPr>
            <w:r>
              <w:rPr>
                <w:rFonts w:ascii="Calibri" w:cs="Calibri" w:eastAsia="Calibri" w:hAnsi="Calibri"/>
                <w:b/>
                <w:bCs/>
                <w:color w:val="B26A0F"/>
                <w:sz w:val="20"/>
                <w:szCs w:val="20"/>
              </w:rPr>
              <w:t xml:space="preserve">Kernfrage  </w:t>
            </w:r>
            <w:r>
              <w:rPr>
                <w:rFonts w:ascii="Cambria" w:cs="Cambria" w:eastAsia="Cambria" w:hAnsi="Cambria"/>
                <w:i/>
                <w:iCs/>
                <w:color w:val="0A4A3F"/>
                <w:sz w:val="24"/>
                <w:szCs w:val="24"/>
              </w:rPr>
              <w:t xml:space="preserve">Was ändert sich, wenn ein Automat mehrere Möglichkeiten hat?</w:t>
            </w:r>
          </w:p>
        </w:tc>
      </w:tr>
    </w:tbl>
    <w:p>
      <w:pPr>
        <w:spacing w:after="160" w:before="0"/>
      </w:pPr>
    </w:p>
    <w:p>
      <w:pPr>
        <w:keepNext/>
        <w:spacing w:after="100" w:before="260"/>
      </w:pPr>
      <w:r>
        <w:rPr>
          <w:rFonts w:ascii="Cambria" w:cs="Cambria" w:eastAsia="Cambria" w:hAnsi="Cambria"/>
          <w:b/>
          <w:bCs/>
          <w:color w:val="0E6455"/>
          <w:sz w:val="27"/>
          <w:szCs w:val="27"/>
        </w:rPr>
        <w:t xml:space="preserve">Überblick</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814"/>
        <w:gridCol w:w="8051"/>
      </w:tblGrid>
      <w:tr>
        <w:trPr>
          <w:cantSplit/>
          <w:tblHeader/>
        </w:trPr>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Aspekt</w:t>
            </w:r>
          </w:p>
        </w:tc>
        <w:tc>
          <w:tcPr>
            <w:tcW w:type="dxa" w:w="805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20"/>
                <w:szCs w:val="20"/>
              </w:rPr>
              <w:t xml:space="preserve">Inhalt</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Lernziele</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Die SuS simulieren NEA mit Mengen aktiver Zustände, formulieren die Akzeptanzbedingung („es gibt mindestens einen Weg in einen Endzustand“), nutzen ε-Übergänge (ε ist kein Eingabezeichen), entwerfen einfache NEA und erläutern die Gleichmächtigkeit von NEA und DEA (Teilmengenkonstruktion als eA-Vertiefung).</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KC-Bezug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Brückenstunde: Nichtdeterminismus ist Voraussetzung für den Kellerautomaten (K6, NKA) und für die Übersetzung rechtsregulärer Grammatiken in Automaten (F4, Level 12). K3 (Automaten entwickeln), K4 (analysieren). PK1.1, PK2.2</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Abi-Bezug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NEA kommen im Zentralabitur nicht als eigener Aufgabentyp vor, wohl aber Nichtdeterminismus beim NKA: Die Akzeptanzdefinition der Ergänzenden Hinweise 2025 („wenn es eine Möglichkeit gibt …“) wird hier vorbereitet. Vertiefung: Abi 2025 eA Aufgabe B, Teil h (Dokumentation einer Kellerautomaten-Verarbeitung – dort genügt ein akzeptierender Lauf) und Abi 2022 eA Aufgabe C, Teil c.</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Material</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Folien DS08, AB08, Merkblatt M06, Kopiervorlage „Parallelwelten“ (unten), Spielfiguren/Münzen (6 pro Gruppe), AutomatenLab „Parallelwelten“ (#/parallelwelten?aufgabe=1&amp;modus=sim, Teilmengen-Modus zu Aufgabe 2)</w:t>
            </w:r>
          </w:p>
        </w:tc>
      </w:tr>
      <w:tr>
        <w:trPr>
          <w:cantSplit/>
          <w:tblHeader w:val="false"/>
        </w:trPr>
        <w:tc>
          <w:tcPr>
            <w:tcW w:type="dxa" w:w="181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20"/>
                <w:szCs w:val="20"/>
              </w:rPr>
              <w:t xml:space="preserve">Vorbereitung</w:t>
            </w:r>
          </w:p>
        </w:tc>
        <w:tc>
          <w:tcPr>
            <w:tcW w:type="dxa" w:w="8051"/>
            <w:tcMar>
              <w:top w:type="dxa" w:w="50"/>
              <w:left w:type="dxa" w:w="120"/>
              <w:bottom w:type="dxa" w:w="50"/>
              <w:right w:type="dxa" w:w="120"/>
            </w:tcMar>
            <w:vAlign w:val="center"/>
          </w:tcPr>
          <w:p>
            <w:pPr>
              <w:spacing w:after="40" w:before="0" w:line="276"/>
              <w:jc w:val="left"/>
            </w:pPr>
            <w:r>
              <w:rPr>
                <w:rFonts w:ascii="Calibri" w:cs="Calibri" w:eastAsia="Calibri" w:hAnsi="Calibri"/>
                <w:b w:val="false"/>
                <w:bCs w:val="false"/>
                <w:color w:val="1F2A2E"/>
                <w:sz w:val="20"/>
                <w:szCs w:val="20"/>
              </w:rPr>
              <w:t xml:space="preserve">Spielplan (Graph LOL-NEA, A3) pro Vierergruppe kopieren, Münzen/Spielfiguren bereitlegen; Beamer: App Parallelwelten Aufgabe 1.</w:t>
            </w:r>
          </w:p>
        </w:tc>
      </w:tr>
    </w:tbl>
    <w:p>
      <w:pPr>
        <w:spacing w:after="140" w:before="0"/>
      </w:pPr>
    </w:p>
    <w:p>
      <w:pPr>
        <w:keepNext/>
        <w:spacing w:after="100" w:before="260"/>
      </w:pPr>
      <w:r>
        <w:rPr>
          <w:rFonts w:ascii="Cambria" w:cs="Cambria" w:eastAsia="Cambria" w:hAnsi="Cambria"/>
          <w:b/>
          <w:bCs/>
          <w:color w:val="0E6455"/>
          <w:sz w:val="27"/>
          <w:szCs w:val="27"/>
        </w:rPr>
        <w:t xml:space="preserve">Verlaufsplan (90 Minuten)</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907"/>
        <w:gridCol w:w="1361"/>
        <w:gridCol w:w="5783"/>
        <w:gridCol w:w="1814"/>
      </w:tblGrid>
      <w:tr>
        <w:trPr>
          <w:cantSplit/>
          <w:tblHeader/>
        </w:trPr>
        <w:tc>
          <w:tcPr>
            <w:tcW w:type="dxa" w:w="90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Zeit</w:t>
            </w:r>
          </w:p>
        </w:tc>
        <w:tc>
          <w:tcPr>
            <w:tcW w:type="dxa" w:w="136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Phase</w:t>
            </w:r>
          </w:p>
        </w:tc>
        <w:tc>
          <w:tcPr>
            <w:tcW w:type="dxa" w:w="5783"/>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Unterrichtsgeschehen</w:t>
            </w:r>
          </w:p>
        </w:tc>
        <w:tc>
          <w:tcPr>
            <w:tcW w:type="dxa" w:w="1814"/>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Sozialform / Medien</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0–10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Einstieg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LOL-Erkenner aus Level 1 (DEA) zeigen: „Welche Pfeile waren schwer zu finden?“ (Rücksprünge S1 –L→ S1, S2 –O→ S0). Gegenentwurf an der Tafel: „Rate, wo LOL beginnt“ – nur die Kette S0 –L→ S1 –O→ S2 –L→ S3 plus Schleifen. Konflikt: In S0 gibt es für L zwei Pfeile.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Folien 3–4</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10–30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 I</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Unplugged „Parallelwelten“ in Vierergruppen: Spielplan + Münzen, Wortkarten LLOL, LOOL, XLOLO, LOLOL. Eine Person liest vor, eine bewegt/verdoppelt Figuren, eine protokolliert die Zustandsmengen, eine prüft. Danach Vergleich im Plenum, App-Simulation zur Kontrolle.</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GA, Spielplan, App</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30–50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Erarbeitung II</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Begriffe sichern: Übergangsrelation (mehrere/keine Folgezustände), Akzeptanz „mindestens ein Weg“, ε-Übergänge (Vorzeichen-Beispiel), ε gehört nicht zu Σ. Gleichmächtigkeit: Mengen aktiver Zustände sind endlich viele ⇒ DEA (Teilmengenkonstruktion an „endet auf ab“).</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LV/UG, Folien 7–12</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50–80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Übung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AB08 nach Niveau; Aufgabe 2 (GRATIS) als gemeinsamer Kern. Profis: Aufgabe 4 mit App-Modus „Teilmengen“.</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EA/PA, AB08, App</w:t>
            </w:r>
          </w:p>
        </w:tc>
      </w:tr>
      <w:tr>
        <w:trPr>
          <w:cantSplit/>
          <w:tblHeader w:val="false"/>
        </w:trPr>
        <w:tc>
          <w:tcPr>
            <w:tcW w:type="dxa" w:w="90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80–90</w:t>
            </w:r>
          </w:p>
        </w:tc>
        <w:tc>
          <w:tcPr>
            <w:tcW w:type="dxa" w:w="136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Sicherung</w:t>
            </w:r>
          </w:p>
        </w:tc>
        <w:tc>
          <w:tcPr>
            <w:tcW w:type="dxa" w:w="5783"/>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M06; Ausblick: „Im Level 9 bekommt der Automat einen Keller – und auch dort darf er raten (NKA).“</w:t>
            </w:r>
          </w:p>
        </w:tc>
        <w:tc>
          <w:tcPr>
            <w:tcW w:type="dxa" w:w="1814"/>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UG, M06</w:t>
            </w:r>
          </w:p>
        </w:tc>
      </w:tr>
    </w:tbl>
    <w:p>
      <w:pPr>
        <w:spacing w:after="140" w:before="0"/>
      </w:pPr>
    </w:p>
    <w:p>
      <w:pPr>
        <w:keepNext/>
        <w:spacing w:after="100" w:before="260"/>
      </w:pPr>
      <w:r>
        <w:rPr>
          <w:rFonts w:ascii="Cambria" w:cs="Cambria" w:eastAsia="Cambria" w:hAnsi="Cambria"/>
          <w:b/>
          <w:bCs/>
          <w:color w:val="0E6455"/>
          <w:sz w:val="27"/>
          <w:szCs w:val="27"/>
        </w:rPr>
        <w:t xml:space="preserve">Unplugged „Parallelwelten“</w:t>
      </w:r>
    </w:p>
    <w:p>
      <w:pPr>
        <w:pStyle w:val="ListParagraph"/>
        <w:numPr>
          <w:ilvl w:val="0"/>
          <w:numId w:val="2"/>
        </w:numPr>
        <w:spacing w:after="60" w:line="264"/>
      </w:pPr>
      <w:r>
        <w:rPr>
          <w:rFonts w:ascii="Calibri" w:cs="Calibri" w:eastAsia="Calibri" w:hAnsi="Calibri"/>
          <w:color w:val="1F2A2E"/>
          <w:sz w:val="22"/>
          <w:szCs w:val="22"/>
        </w:rPr>
        <w:t xml:space="preserve">Jede Gruppe erhält den Spielplan (LOL-NEA) und 6 Münzen. Start: eine Münze auf S0.</w:t>
      </w:r>
    </w:p>
    <w:p>
      <w:pPr>
        <w:pStyle w:val="ListParagraph"/>
        <w:numPr>
          <w:ilvl w:val="0"/>
          <w:numId w:val="2"/>
        </w:numPr>
        <w:spacing w:after="60" w:line="264"/>
      </w:pPr>
      <w:r>
        <w:rPr>
          <w:rFonts w:ascii="Calibri" w:cs="Calibri" w:eastAsia="Calibri" w:hAnsi="Calibri"/>
          <w:color w:val="1F2A2E"/>
          <w:sz w:val="22"/>
          <w:szCs w:val="22"/>
        </w:rPr>
        <w:t xml:space="preserve">Verdoppeln: Liest die Gruppe L, während eine Münze auf S0 liegt, bleibt diese liegen (Schleife) </w:t>
      </w:r>
      <w:r>
        <w:rPr>
          <w:rFonts w:ascii="Calibri" w:cs="Calibri" w:eastAsia="Calibri" w:hAnsi="Calibri"/>
          <w:b/>
          <w:bCs/>
          <w:color w:val="1F2A2E"/>
          <w:sz w:val="22"/>
          <w:szCs w:val="22"/>
        </w:rPr>
        <w:t xml:space="preserve">und</w:t>
      </w:r>
      <w:r>
        <w:rPr>
          <w:rFonts w:ascii="Calibri" w:cs="Calibri" w:eastAsia="Calibri" w:hAnsi="Calibri"/>
          <w:color w:val="1F2A2E"/>
          <w:sz w:val="22"/>
          <w:szCs w:val="22"/>
        </w:rPr>
        <w:t xml:space="preserve"> eine neue Münze kommt auf S1.</w:t>
      </w:r>
    </w:p>
    <w:p>
      <w:pPr>
        <w:pStyle w:val="ListParagraph"/>
        <w:numPr>
          <w:ilvl w:val="0"/>
          <w:numId w:val="2"/>
        </w:numPr>
        <w:spacing w:after="60" w:line="264"/>
      </w:pPr>
      <w:r>
        <w:rPr>
          <w:rFonts w:ascii="Calibri" w:cs="Calibri" w:eastAsia="Calibri" w:hAnsi="Calibri"/>
          <w:color w:val="1F2A2E"/>
          <w:sz w:val="22"/>
          <w:szCs w:val="22"/>
        </w:rPr>
        <w:t xml:space="preserve">Ausscheiden: Hat eine Münze keinen passenden Pfeil (z. B. auf S1 bei L), wird sie entfernt. Liegen zwei Münzen auf demselben Zustand, genügt eine (Menge!).</w:t>
      </w:r>
    </w:p>
    <w:p>
      <w:pPr>
        <w:pStyle w:val="ListParagraph"/>
        <w:numPr>
          <w:ilvl w:val="0"/>
          <w:numId w:val="2"/>
        </w:numPr>
        <w:spacing w:after="60" w:line="264"/>
      </w:pPr>
      <w:r>
        <w:rPr>
          <w:rFonts w:ascii="Calibri" w:cs="Calibri" w:eastAsia="Calibri" w:hAnsi="Calibri"/>
          <w:color w:val="1F2A2E"/>
          <w:sz w:val="22"/>
          <w:szCs w:val="22"/>
        </w:rPr>
        <w:t xml:space="preserve">Akzeptiert: Nach der letzten Karte liegt mindestens eine Münze auf S3.</w:t>
      </w:r>
    </w:p>
    <w:p>
      <w:pPr>
        <w:pStyle w:val="ListParagraph"/>
        <w:numPr>
          <w:ilvl w:val="0"/>
          <w:numId w:val="2"/>
        </w:numPr>
        <w:spacing w:after="60" w:line="264"/>
      </w:pPr>
      <w:r>
        <w:rPr>
          <w:rFonts w:ascii="Calibri" w:cs="Calibri" w:eastAsia="Calibri" w:hAnsi="Calibri"/>
          <w:color w:val="1F2A2E"/>
          <w:sz w:val="22"/>
          <w:szCs w:val="22"/>
        </w:rPr>
        <w:t xml:space="preserve">Reflexion: „Wie viele Münzen braucht man höchstens?“ → höchstens eine pro Zustand ⇒ endlich viele mögliche Belegungen ⇒ Idee der Teilmengenkonstruktion.</w:t>
      </w:r>
    </w:p>
    <w:p>
      <w:pPr>
        <w:keepNext/>
        <w:spacing w:after="60" w:before="160"/>
      </w:pPr>
      <w:r>
        <w:rPr>
          <w:rFonts w:ascii="Calibri" w:cs="Calibri" w:eastAsia="Calibri" w:hAnsi="Calibri"/>
          <w:b/>
          <w:bCs/>
          <w:color w:val="B26A0F"/>
          <w:sz w:val="23"/>
          <w:szCs w:val="23"/>
        </w:rPr>
        <w:t xml:space="preserve">Kopiervorlage: Spielplan (auf A3 vergrößern)</w:t>
      </w:r>
    </w:p>
    <w:p>
      <w:pPr>
        <w:keepNext w:val="false"/>
        <w:spacing w:after="120" w:before="60"/>
        <w:jc w:val="center"/>
      </w:pPr>
      <w:r>
        <w:drawing>
          <wp:inline distT="0" distB="0" distL="0" distR="0">
            <wp:extent cx="5400675" cy="1276350"/>
            <wp:effectExtent t="0" r="0" b="0" l="0"/>
            <wp:docPr id="1" name="lol_nea.png" descr="Abbildung" title="Abbil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276350"/>
                    </a:xfrm>
                    <a:prstGeom prst="rect">
                      <a:avLst/>
                    </a:prstGeom>
                  </pic:spPr>
                </pic:pic>
              </a:graphicData>
            </a:graphic>
          </wp:inline>
        </w:drawing>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973"/>
        <w:gridCol w:w="1973"/>
        <w:gridCol w:w="1973"/>
        <w:gridCol w:w="1973"/>
        <w:gridCol w:w="1973"/>
      </w:tblGrid>
      <w:tr>
        <w:trPr>
          <w:cantSplit/>
          <w:tblHeader w:val="false"/>
          <w:trHeight w:val="851" w:hRule="atLeast"/>
        </w:trPr>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LLOL</w:t>
            </w:r>
          </w:p>
        </w:tc>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LOOL</w:t>
            </w:r>
          </w:p>
        </w:tc>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XLOLO</w:t>
            </w:r>
          </w:p>
        </w:tc>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LOLOL</w:t>
            </w:r>
          </w:p>
        </w:tc>
        <w:tc>
          <w:tcPr>
            <w:tcW w:type="dxa" w:w="1973"/>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32"/>
                <w:szCs w:val="32"/>
              </w:rPr>
              <w:t xml:space="preserve">OLLO</w:t>
            </w:r>
          </w:p>
        </w:tc>
      </w:tr>
    </w:tbl>
    <w:p>
      <w:pPr>
        <w:spacing w:after="140" w:before="0"/>
      </w:pPr>
    </w:p>
    <w:p>
      <w:pPr>
        <w:spacing w:after="100" w:before="0" w:line="276"/>
        <w:jc w:val="left"/>
      </w:pPr>
      <w:r>
        <w:rPr>
          <w:rFonts w:ascii="Calibri" w:cs="Calibri" w:eastAsia="Calibri" w:hAnsi="Calibri"/>
          <w:color w:val="5B6770"/>
          <w:sz w:val="19"/>
          <w:szCs w:val="19"/>
        </w:rPr>
        <w:t xml:space="preserve">Erwartung: akzeptiert LLOL, XLOLO, LOLOL; abgelehnt LOOL, OLLO.</w:t>
      </w:r>
    </w:p>
    <w:p>
      <w:pPr>
        <w:keepNext/>
        <w:spacing w:after="100" w:before="260"/>
      </w:pPr>
      <w:r>
        <w:rPr>
          <w:rFonts w:ascii="Cambria" w:cs="Cambria" w:eastAsia="Cambria" w:hAnsi="Cambria"/>
          <w:b/>
          <w:bCs/>
          <w:color w:val="0E6455"/>
          <w:sz w:val="27"/>
          <w:szCs w:val="27"/>
        </w:rPr>
        <w:t xml:space="preserve">Lösungen AB08</w:t>
      </w:r>
    </w:p>
    <w:p>
      <w:pPr>
        <w:keepNext/>
        <w:spacing w:after="60" w:before="160"/>
      </w:pPr>
      <w:r>
        <w:rPr>
          <w:rFonts w:ascii="Calibri" w:cs="Calibri" w:eastAsia="Calibri" w:hAnsi="Calibri"/>
          <w:b/>
          <w:bCs/>
          <w:color w:val="B26A0F"/>
          <w:sz w:val="23"/>
          <w:szCs w:val="23"/>
        </w:rPr>
        <w:t xml:space="preserve">Aufgabe 1 – Parallelwelten: LOL-Suche</w:t>
      </w:r>
    </w:p>
    <w:p>
      <w:pPr>
        <w:keepNext/>
        <w:spacing w:after="40" w:before="0" w:line="276"/>
        <w:jc w:val="left"/>
      </w:pPr>
      <w:r>
        <w:rPr>
          <w:rFonts w:ascii="Consolas" w:cs="Consolas" w:eastAsia="Consolas" w:hAnsi="Consolas"/>
          <w:b/>
          <w:bCs/>
          <w:color w:val="0A4A3F"/>
          <w:sz w:val="19"/>
          <w:szCs w:val="19"/>
        </w:rPr>
        <w:t xml:space="preserve">LLOL</w:t>
      </w:r>
      <w:r>
        <w:rPr>
          <w:rFonts w:ascii="Calibri" w:cs="Calibri" w:eastAsia="Calibri" w:hAnsi="Calibri"/>
          <w:b/>
          <w:bCs/>
          <w:color w:val="1F2A2E"/>
          <w:sz w:val="20"/>
          <w:szCs w:val="20"/>
        </w:rPr>
        <w:t xml:space="preserve"> – akzeptiert</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644"/>
        <w:gridCol w:w="1644"/>
        <w:gridCol w:w="1644"/>
        <w:gridCol w:w="1644"/>
        <w:gridCol w:w="1644"/>
        <w:gridCol w:w="1644"/>
      </w:tblGrid>
      <w:tr>
        <w:trPr>
          <w:cantSplit/>
          <w:tblHeader w:val="false"/>
        </w:trPr>
        <w:tc>
          <w:tcPr>
            <w:tcW w:type="dxa" w:w="1644"/>
            <w:shd w:fill="F1F7F6" w:color="auto" w:val="clear"/>
            <w:tcMar>
              <w:top w:type="dxa" w:w="50"/>
              <w:left w:type="dxa" w:w="120"/>
              <w:bottom w:type="dxa" w:w="50"/>
              <w:right w:type="dxa" w:w="120"/>
            </w:tcMar>
            <w:vAlign w:val="center"/>
          </w:tcPr>
          <w:p>
            <w:pPr>
              <w:keepNext/>
              <w:spacing w:after="40" w:before="0" w:line="276"/>
              <w:jc w:val="left"/>
            </w:pPr>
            <w:r>
              <w:rPr>
                <w:rFonts w:ascii="Calibri" w:cs="Calibri" w:eastAsia="Calibri" w:hAnsi="Calibri"/>
                <w:b/>
                <w:bCs/>
                <w:color w:val="1F2A2E"/>
                <w:sz w:val="18"/>
                <w:szCs w:val="18"/>
              </w:rPr>
              <w:t xml:space="preserve">gelesen</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Start</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r>
      <w:tr>
        <w:trPr>
          <w:cantSplit/>
          <w:tblHeader w:val="false"/>
        </w:trPr>
        <w:tc>
          <w:tcPr>
            <w:tcW w:type="dxa" w:w="164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8"/>
                <w:szCs w:val="18"/>
              </w:rPr>
              <w:t xml:space="preserve">aktive Zustände</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 S3}</w:t>
            </w:r>
          </w:p>
        </w:tc>
      </w:tr>
    </w:tbl>
    <w:p>
      <w:pPr>
        <w:spacing w:after="140" w:before="0"/>
      </w:pPr>
    </w:p>
    <w:p>
      <w:pPr>
        <w:keepNext/>
        <w:spacing w:after="40" w:before="0" w:line="276"/>
        <w:jc w:val="left"/>
      </w:pPr>
      <w:r>
        <w:rPr>
          <w:rFonts w:ascii="Consolas" w:cs="Consolas" w:eastAsia="Consolas" w:hAnsi="Consolas"/>
          <w:b/>
          <w:bCs/>
          <w:color w:val="0A4A3F"/>
          <w:sz w:val="19"/>
          <w:szCs w:val="19"/>
        </w:rPr>
        <w:t xml:space="preserve">LOOL</w:t>
      </w:r>
      <w:r>
        <w:rPr>
          <w:rFonts w:ascii="Calibri" w:cs="Calibri" w:eastAsia="Calibri" w:hAnsi="Calibri"/>
          <w:b/>
          <w:bCs/>
          <w:color w:val="1F2A2E"/>
          <w:sz w:val="20"/>
          <w:szCs w:val="20"/>
        </w:rPr>
        <w:t xml:space="preserve"> – abgelehnt</w:t>
      </w:r>
    </w:p>
    <w:tbl>
      <w:tblPr>
        <w:tblW w:type="dxa" w:w="9864"/>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644"/>
        <w:gridCol w:w="1644"/>
        <w:gridCol w:w="1644"/>
        <w:gridCol w:w="1644"/>
        <w:gridCol w:w="1644"/>
        <w:gridCol w:w="1644"/>
      </w:tblGrid>
      <w:tr>
        <w:trPr>
          <w:cantSplit/>
          <w:tblHeader w:val="false"/>
        </w:trPr>
        <w:tc>
          <w:tcPr>
            <w:tcW w:type="dxa" w:w="1644"/>
            <w:shd w:fill="F1F7F6" w:color="auto" w:val="clear"/>
            <w:tcMar>
              <w:top w:type="dxa" w:w="50"/>
              <w:left w:type="dxa" w:w="120"/>
              <w:bottom w:type="dxa" w:w="50"/>
              <w:right w:type="dxa" w:w="120"/>
            </w:tcMar>
            <w:vAlign w:val="center"/>
          </w:tcPr>
          <w:p>
            <w:pPr>
              <w:keepNext/>
              <w:spacing w:after="40" w:before="0" w:line="276"/>
              <w:jc w:val="left"/>
            </w:pPr>
            <w:r>
              <w:rPr>
                <w:rFonts w:ascii="Calibri" w:cs="Calibri" w:eastAsia="Calibri" w:hAnsi="Calibri"/>
                <w:b/>
                <w:bCs/>
                <w:color w:val="1F2A2E"/>
                <w:sz w:val="18"/>
                <w:szCs w:val="18"/>
              </w:rPr>
              <w:t xml:space="preserve">gelesen</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Start</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c>
          <w:tcPr>
            <w:tcW w:type="dxa" w:w="1644"/>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r>
      <w:tr>
        <w:trPr>
          <w:cantSplit/>
          <w:tblHeader w:val="false"/>
        </w:trPr>
        <w:tc>
          <w:tcPr>
            <w:tcW w:type="dxa" w:w="1644"/>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8"/>
                <w:szCs w:val="18"/>
              </w:rPr>
              <w:t xml:space="preserve">aktive Zustände</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644"/>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r>
    </w:tbl>
    <w:p>
      <w:pPr>
        <w:spacing w:after="140" w:before="0"/>
      </w:pPr>
    </w:p>
    <w:p>
      <w:pPr>
        <w:keepNext/>
        <w:spacing w:after="40" w:before="0" w:line="276"/>
        <w:jc w:val="left"/>
      </w:pPr>
      <w:r>
        <w:rPr>
          <w:rFonts w:ascii="Consolas" w:cs="Consolas" w:eastAsia="Consolas" w:hAnsi="Consolas"/>
          <w:b/>
          <w:bCs/>
          <w:color w:val="0A4A3F"/>
          <w:sz w:val="19"/>
          <w:szCs w:val="19"/>
        </w:rPr>
        <w:t xml:space="preserve">XLOLO</w:t>
      </w:r>
      <w:r>
        <w:rPr>
          <w:rFonts w:ascii="Calibri" w:cs="Calibri" w:eastAsia="Calibri" w:hAnsi="Calibri"/>
          <w:b/>
          <w:bCs/>
          <w:color w:val="1F2A2E"/>
          <w:sz w:val="20"/>
          <w:szCs w:val="20"/>
        </w:rPr>
        <w:t xml:space="preserve"> – akzeptiert</w:t>
      </w:r>
    </w:p>
    <w:tbl>
      <w:tblPr>
        <w:tblW w:type="dxa" w:w="9863"/>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409"/>
        <w:gridCol w:w="1409"/>
        <w:gridCol w:w="1409"/>
        <w:gridCol w:w="1409"/>
        <w:gridCol w:w="1409"/>
        <w:gridCol w:w="1409"/>
        <w:gridCol w:w="1409"/>
      </w:tblGrid>
      <w:tr>
        <w:trPr>
          <w:cantSplit/>
          <w:tblHeader w:val="false"/>
        </w:trPr>
        <w:tc>
          <w:tcPr>
            <w:tcW w:type="dxa" w:w="1409"/>
            <w:shd w:fill="F1F7F6" w:color="auto" w:val="clear"/>
            <w:tcMar>
              <w:top w:type="dxa" w:w="50"/>
              <w:left w:type="dxa" w:w="120"/>
              <w:bottom w:type="dxa" w:w="50"/>
              <w:right w:type="dxa" w:w="120"/>
            </w:tcMar>
            <w:vAlign w:val="center"/>
          </w:tcPr>
          <w:p>
            <w:pPr>
              <w:keepNext/>
              <w:spacing w:after="40" w:before="0" w:line="276"/>
              <w:jc w:val="left"/>
            </w:pPr>
            <w:r>
              <w:rPr>
                <w:rFonts w:ascii="Calibri" w:cs="Calibri" w:eastAsia="Calibri" w:hAnsi="Calibri"/>
                <w:b/>
                <w:bCs/>
                <w:color w:val="1F2A2E"/>
                <w:sz w:val="18"/>
                <w:szCs w:val="18"/>
              </w:rPr>
              <w:t xml:space="preserve">gelesen</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Start</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X</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L</w:t>
            </w:r>
          </w:p>
        </w:tc>
        <w:tc>
          <w:tcPr>
            <w:tcW w:type="dxa" w:w="1409"/>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O</w:t>
            </w:r>
          </w:p>
        </w:tc>
      </w:tr>
      <w:tr>
        <w:trPr>
          <w:cantSplit/>
          <w:tblHeader w:val="false"/>
        </w:trPr>
        <w:tc>
          <w:tcPr>
            <w:tcW w:type="dxa" w:w="1409"/>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8"/>
                <w:szCs w:val="18"/>
              </w:rPr>
              <w:t xml:space="preserve">aktive Zustände</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 S3}</w:t>
            </w:r>
          </w:p>
        </w:tc>
        <w:tc>
          <w:tcPr>
            <w:tcW w:type="dxa" w:w="1409"/>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 S3}</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c) Bei L in S0 „rät“ der NEA: „Hier könnte LOL beginnen“ (Figur nach S1) – oder „noch nicht“ (Figur bleibt in S0). Wegen der Schleife L, O, X in S0 bleibt dort immer eine Figur, sodass jede spätere Stelle als Beginn von LOL geprüft werden kann.</w:t>
      </w:r>
    </w:p>
    <w:p>
      <w:pPr>
        <w:pStyle w:val="ListParagraph"/>
        <w:numPr>
          <w:ilvl w:val="0"/>
          <w:numId w:val="2"/>
        </w:numPr>
        <w:spacing w:after="60" w:line="264"/>
      </w:pPr>
      <w:r>
        <w:rPr>
          <w:rFonts w:ascii="Calibri" w:cs="Calibri" w:eastAsia="Calibri" w:hAnsi="Calibri"/>
          <w:color w:val="1F2A2E"/>
          <w:sz w:val="22"/>
          <w:szCs w:val="22"/>
        </w:rPr>
        <w:t xml:space="preserve">d) Im NEA fehlen alle Rücksprünge (S1 –L→ S1, S1 –X→ S0, S2 –O, X→ S0) und Übergänge aus S1/S2 für „falsche“ Zeichen. Der NEA braucht sie nicht, weil eine Figur, die falsch geraten hat, einfach ausscheidet – die Figur in S0 sorgt für den Neuanfang.</w:t>
      </w:r>
    </w:p>
    <w:p>
      <w:pPr>
        <w:keepNext/>
        <w:spacing w:after="60" w:before="160"/>
      </w:pPr>
      <w:r>
        <w:rPr>
          <w:rFonts w:ascii="Calibri" w:cs="Calibri" w:eastAsia="Calibri" w:hAnsi="Calibri"/>
          <w:b/>
          <w:bCs/>
          <w:color w:val="B26A0F"/>
          <w:sz w:val="23"/>
          <w:szCs w:val="23"/>
        </w:rPr>
        <w:t xml:space="preserve">Aufgabe 2 – Spamfilter GRATIS</w:t>
      </w:r>
    </w:p>
    <w:p>
      <w:pPr>
        <w:keepNext/>
        <w:spacing w:after="20" w:before="60"/>
        <w:jc w:val="center"/>
      </w:pPr>
      <w:r>
        <w:drawing>
          <wp:inline distT="0" distB="0" distL="0" distR="0">
            <wp:extent cx="5400675" cy="742950"/>
            <wp:effectExtent t="0" r="0" b="0" l="0"/>
            <wp:docPr id="1" name="gratis.png" descr="a) NEA: In S0 bleibt immer eine Figur (Schleife), bei G startet zusätzlich ein Versuch." title="a) NEA: In S0 bleibt immer eine Figur (Schleife), bei G startet zusätzlich ein Versu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74295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a) NEA: In S0 bleibt immer eine Figur (Schleife), bei G startet zusätzlich ein Versuch.</w:t>
      </w:r>
    </w:p>
    <w:p>
      <w:pPr>
        <w:keepNext/>
        <w:spacing w:after="40" w:before="0" w:line="276"/>
        <w:jc w:val="left"/>
      </w:pPr>
      <w:r>
        <w:rPr>
          <w:rFonts w:ascii="Consolas" w:cs="Consolas" w:eastAsia="Consolas" w:hAnsi="Consolas"/>
          <w:b/>
          <w:bCs/>
          <w:color w:val="0A4A3F"/>
          <w:sz w:val="19"/>
          <w:szCs w:val="19"/>
        </w:rPr>
        <w:t xml:space="preserve">GRAGRATIS</w:t>
      </w:r>
      <w:r>
        <w:rPr>
          <w:rFonts w:ascii="Calibri" w:cs="Calibri" w:eastAsia="Calibri" w:hAnsi="Calibri"/>
          <w:b/>
          <w:bCs/>
          <w:color w:val="1F2A2E"/>
          <w:sz w:val="20"/>
          <w:szCs w:val="20"/>
        </w:rPr>
        <w:t xml:space="preserve"> – akzeptiert</w:t>
      </w:r>
    </w:p>
    <w:tbl>
      <w:tblPr>
        <w:tblW w:type="dxa" w:w="985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896"/>
        <w:gridCol w:w="896"/>
        <w:gridCol w:w="896"/>
        <w:gridCol w:w="896"/>
        <w:gridCol w:w="896"/>
        <w:gridCol w:w="896"/>
        <w:gridCol w:w="896"/>
        <w:gridCol w:w="896"/>
        <w:gridCol w:w="896"/>
        <w:gridCol w:w="896"/>
        <w:gridCol w:w="896"/>
      </w:tblGrid>
      <w:tr>
        <w:trPr>
          <w:cantSplit/>
          <w:tblHeader w:val="false"/>
        </w:trPr>
        <w:tc>
          <w:tcPr>
            <w:tcW w:type="dxa" w:w="896"/>
            <w:shd w:fill="F1F7F6" w:color="auto" w:val="clear"/>
            <w:tcMar>
              <w:top w:type="dxa" w:w="50"/>
              <w:left w:type="dxa" w:w="120"/>
              <w:bottom w:type="dxa" w:w="50"/>
              <w:right w:type="dxa" w:w="120"/>
            </w:tcMar>
            <w:vAlign w:val="center"/>
          </w:tcPr>
          <w:p>
            <w:pPr>
              <w:keepNext/>
              <w:spacing w:after="40" w:before="0" w:line="276"/>
              <w:jc w:val="left"/>
            </w:pPr>
            <w:r>
              <w:rPr>
                <w:rFonts w:ascii="Calibri" w:cs="Calibri" w:eastAsia="Calibri" w:hAnsi="Calibri"/>
                <w:b/>
                <w:bCs/>
                <w:color w:val="1F2A2E"/>
                <w:sz w:val="18"/>
                <w:szCs w:val="18"/>
              </w:rPr>
              <w:t xml:space="preserve">gelesen</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Start</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G</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R</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A</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G</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R</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A</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T</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I</w:t>
            </w:r>
          </w:p>
        </w:tc>
        <w:tc>
          <w:tcPr>
            <w:tcW w:type="dxa" w:w="896"/>
            <w:tcMar>
              <w:top w:type="dxa" w:w="50"/>
              <w:left w:type="dxa" w:w="120"/>
              <w:bottom w:type="dxa" w:w="50"/>
              <w:right w:type="dxa" w:w="120"/>
            </w:tcMar>
            <w:vAlign w:val="center"/>
          </w:tcPr>
          <w:p>
            <w:pPr>
              <w:keepNext/>
              <w:spacing w:after="40" w:before="0" w:line="276"/>
              <w:jc w:val="center"/>
            </w:pPr>
            <w:r>
              <w:rPr>
                <w:rFonts w:ascii="Calibri" w:cs="Calibri" w:eastAsia="Calibri" w:hAnsi="Calibri"/>
                <w:b w:val="false"/>
                <w:bCs w:val="false"/>
                <w:color w:val="1F2A2E"/>
                <w:sz w:val="18"/>
                <w:szCs w:val="18"/>
              </w:rPr>
              <w:t xml:space="preserve">S</w:t>
            </w:r>
          </w:p>
        </w:tc>
      </w:tr>
      <w:tr>
        <w:trPr>
          <w:cantSplit/>
          <w:tblHeader w:val="false"/>
        </w:trPr>
        <w:tc>
          <w:tcPr>
            <w:tcW w:type="dxa" w:w="896"/>
            <w:shd w:fill="F1F7F6"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1F2A2E"/>
                <w:sz w:val="18"/>
                <w:szCs w:val="18"/>
              </w:rPr>
              <w:t xml:space="preserve">aktive Zustände</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S3}</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S1}</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S2}</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S3}</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S4}</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S5}</w:t>
            </w:r>
          </w:p>
        </w:tc>
        <w:tc>
          <w:tcPr>
            <w:tcW w:type="dxa" w:w="896"/>
            <w:tcMar>
              <w:top w:type="dxa" w:w="50"/>
              <w:left w:type="dxa" w:w="120"/>
              <w:bottom w:type="dxa" w:w="50"/>
              <w:right w:type="dxa" w:w="120"/>
            </w:tcMar>
            <w:vAlign w:val="center"/>
          </w:tcPr>
          <w:p>
            <w:pPr>
              <w:spacing w:after="40" w:before="0" w:line="276"/>
              <w:jc w:val="center"/>
            </w:pPr>
            <w:r>
              <w:rPr>
                <w:rFonts w:ascii="Calibri" w:cs="Calibri" w:eastAsia="Calibri" w:hAnsi="Calibri"/>
                <w:b w:val="false"/>
                <w:bCs w:val="false"/>
                <w:color w:val="1F2A2E"/>
                <w:sz w:val="18"/>
                <w:szCs w:val="18"/>
              </w:rPr>
              <w:t xml:space="preserve">{S0, S6}</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c) Beim DEA muss man für jeden Zustand überlegen, wohin ein „falsches“ Zeichen führt: Nach GRA folgt G – das ist zwar kein T, aber der Beginn eines neuen GRATIS, also Sprung nach „G gelesen“ (nicht nach S0). Beim NEA erledigt das die Figur in S0 automatisch. Die Teilmengenkonstruktion liefert hier einen DEA mit 12 Zuständen (minimiert 7) – mit vielen Rückkanten.</w:t>
      </w:r>
    </w:p>
    <w:p>
      <w:pPr>
        <w:keepNext/>
        <w:spacing w:after="60" w:before="160"/>
      </w:pPr>
      <w:r>
        <w:rPr>
          <w:rFonts w:ascii="Calibri" w:cs="Calibri" w:eastAsia="Calibri" w:hAnsi="Calibri"/>
          <w:b/>
          <w:bCs/>
          <w:color w:val="B26A0F"/>
          <w:sz w:val="23"/>
          <w:szCs w:val="23"/>
        </w:rPr>
        <w:t xml:space="preserve">Aufgabe 3 – ε-Übergänge</w:t>
      </w:r>
    </w:p>
    <w:tbl>
      <w:tblPr>
        <w:tblW w:type="dxa" w:w="9865"/>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1247"/>
        <w:gridCol w:w="6577"/>
        <w:gridCol w:w="2041"/>
      </w:tblGrid>
      <w:tr>
        <w:trPr>
          <w:cantSplit/>
          <w:tblHeader/>
        </w:trPr>
        <w:tc>
          <w:tcPr>
            <w:tcW w:type="dxa" w:w="124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Eingabe</w:t>
            </w:r>
          </w:p>
        </w:tc>
        <w:tc>
          <w:tcPr>
            <w:tcW w:type="dxa" w:w="6577"/>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Mengen aktiver Zustände</w:t>
            </w:r>
          </w:p>
        </w:tc>
        <w:tc>
          <w:tcPr>
            <w:tcW w:type="dxa" w:w="2041"/>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Ergebnis</w:t>
            </w:r>
          </w:p>
        </w:tc>
      </w:tr>
      <w:tr>
        <w:trPr>
          <w:cantSplit/>
          <w:tblHeader w:val="false"/>
        </w:trPr>
        <w:tc>
          <w:tcPr>
            <w:tcW w:type="dxa" w:w="124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+101</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 –+→ {S1} –1→ {S2} –0→ {S2} –1→ {S2}</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akzeptiert</w:t>
            </w:r>
          </w:p>
        </w:tc>
      </w:tr>
      <w:tr>
        <w:trPr>
          <w:cantSplit/>
          <w:tblHeader w:val="false"/>
        </w:trPr>
        <w:tc>
          <w:tcPr>
            <w:tcW w:type="dxa" w:w="124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10</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 –1→ {S2} –0→ {S2}</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akzeptiert</w:t>
            </w:r>
          </w:p>
        </w:tc>
      </w:tr>
      <w:tr>
        <w:trPr>
          <w:cantSplit/>
          <w:tblHeader w:val="false"/>
        </w:trPr>
        <w:tc>
          <w:tcPr>
            <w:tcW w:type="dxa" w:w="124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 – - → {S1}</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abgelehnt</w:t>
            </w:r>
          </w:p>
        </w:tc>
      </w:tr>
      <w:tr>
        <w:trPr>
          <w:cantSplit/>
          <w:tblHeader w:val="false"/>
        </w:trPr>
        <w:tc>
          <w:tcPr>
            <w:tcW w:type="dxa" w:w="124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+-1</w:t>
            </w:r>
          </w:p>
        </w:tc>
        <w:tc>
          <w:tcPr>
            <w:tcW w:type="dxa" w:w="6577"/>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 –+→ {S1} – - → ∅ –1→ ∅</w:t>
            </w:r>
          </w:p>
        </w:tc>
        <w:tc>
          <w:tcPr>
            <w:tcW w:type="dxa" w:w="2041"/>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abgelehnt</w:t>
            </w:r>
          </w:p>
        </w:tc>
      </w:tr>
    </w:tbl>
    <w:p>
      <w:pPr>
        <w:spacing w:after="140" w:before="0"/>
      </w:pPr>
    </w:p>
    <w:p>
      <w:pPr>
        <w:pStyle w:val="ListParagraph"/>
        <w:numPr>
          <w:ilvl w:val="0"/>
          <w:numId w:val="2"/>
        </w:numPr>
        <w:spacing w:after="60" w:line="264"/>
      </w:pPr>
      <w:r>
        <w:rPr>
          <w:rFonts w:ascii="Calibri" w:cs="Calibri" w:eastAsia="Calibri" w:hAnsi="Calibri"/>
          <w:color w:val="1F2A2E"/>
          <w:sz w:val="22"/>
          <w:szCs w:val="22"/>
        </w:rPr>
        <w:t xml:space="preserve">b) Falsch. ε ist das </w:t>
      </w:r>
      <w:r>
        <w:rPr>
          <w:rFonts w:ascii="Calibri" w:cs="Calibri" w:eastAsia="Calibri" w:hAnsi="Calibri"/>
          <w:b/>
          <w:bCs/>
          <w:color w:val="1F2A2E"/>
          <w:sz w:val="22"/>
          <w:szCs w:val="22"/>
        </w:rPr>
        <w:t xml:space="preserve">leere Wort</w:t>
      </w:r>
      <w:r>
        <w:rPr>
          <w:rFonts w:ascii="Calibri" w:cs="Calibri" w:eastAsia="Calibri" w:hAnsi="Calibri"/>
          <w:color w:val="1F2A2E"/>
          <w:sz w:val="22"/>
          <w:szCs w:val="22"/>
        </w:rPr>
        <w:t xml:space="preserve"> und kein Zeichen, das gelesen werden kann. Σ = {+, -, 0, 1}. Ein ε-Übergang wird ausgeführt, ohne ein Zeichen zu lesen (frühere Folien enthielten hier einen Fehler).</w:t>
      </w:r>
    </w:p>
    <w:p>
      <w:pPr>
        <w:pStyle w:val="ListParagraph"/>
        <w:numPr>
          <w:ilvl w:val="0"/>
          <w:numId w:val="2"/>
        </w:numPr>
        <w:spacing w:after="60" w:line="264"/>
      </w:pPr>
      <w:r>
        <w:rPr>
          <w:rFonts w:ascii="Calibri" w:cs="Calibri" w:eastAsia="Calibri" w:hAnsi="Calibri"/>
          <w:color w:val="1F2A2E"/>
          <w:sz w:val="22"/>
          <w:szCs w:val="22"/>
        </w:rPr>
        <w:t xml:space="preserve">c) L = alle Wörter über {a, b} mit </w:t>
      </w:r>
      <w:r>
        <w:rPr>
          <w:rFonts w:ascii="Calibri" w:cs="Calibri" w:eastAsia="Calibri" w:hAnsi="Calibri"/>
          <w:b/>
          <w:bCs/>
          <w:color w:val="1F2A2E"/>
          <w:sz w:val="22"/>
          <w:szCs w:val="22"/>
        </w:rPr>
        <w:t xml:space="preserve">gerader Anzahl a</w:t>
      </w:r>
      <w:r>
        <w:rPr>
          <w:rFonts w:ascii="Calibri" w:cs="Calibri" w:eastAsia="Calibri" w:hAnsi="Calibri"/>
          <w:color w:val="1F2A2E"/>
          <w:sz w:val="22"/>
          <w:szCs w:val="22"/>
        </w:rPr>
        <w:t xml:space="preserve"> (Zweig S1/S2) </w:t>
      </w:r>
      <w:r>
        <w:rPr>
          <w:rFonts w:ascii="Calibri" w:cs="Calibri" w:eastAsia="Calibri" w:hAnsi="Calibri"/>
          <w:b/>
          <w:bCs/>
          <w:color w:val="1F2A2E"/>
          <w:sz w:val="22"/>
          <w:szCs w:val="22"/>
        </w:rPr>
        <w:t xml:space="preserve">oder</w:t>
      </w:r>
      <w:r>
        <w:rPr>
          <w:rFonts w:ascii="Calibri" w:cs="Calibri" w:eastAsia="Calibri" w:hAnsi="Calibri"/>
          <w:color w:val="1F2A2E"/>
          <w:sz w:val="22"/>
          <w:szCs w:val="22"/>
        </w:rPr>
        <w:t xml:space="preserve"> die auf </w:t>
      </w:r>
      <w:r>
        <w:rPr>
          <w:rFonts w:ascii="Calibri" w:cs="Calibri" w:eastAsia="Calibri" w:hAnsi="Calibri"/>
          <w:b/>
          <w:bCs/>
          <w:color w:val="1F2A2E"/>
          <w:sz w:val="22"/>
          <w:szCs w:val="22"/>
        </w:rPr>
        <w:t xml:space="preserve">b enden</w:t>
      </w:r>
      <w:r>
        <w:rPr>
          <w:rFonts w:ascii="Calibri" w:cs="Calibri" w:eastAsia="Calibri" w:hAnsi="Calibri"/>
          <w:color w:val="1F2A2E"/>
          <w:sz w:val="22"/>
          <w:szCs w:val="22"/>
        </w:rPr>
        <w:t xml:space="preserve"> (Zweig S3/S4). Die ε-Übergänge teilen die Figur zu Beginn auf beide Zweige auf („ODER-Baustein“). Beispiele: aab akzeptiert, aba akzeptiert, ba abgelehnt, aaa abgelehnt, ε akzeptiert.</w:t>
      </w:r>
    </w:p>
    <w:p>
      <w:pPr>
        <w:keepNext/>
        <w:spacing w:after="60" w:before="160"/>
      </w:pPr>
      <w:r>
        <w:rPr>
          <w:rFonts w:ascii="Calibri" w:cs="Calibri" w:eastAsia="Calibri" w:hAnsi="Calibri"/>
          <w:b/>
          <w:bCs/>
          <w:color w:val="B26A0F"/>
          <w:sz w:val="23"/>
          <w:szCs w:val="23"/>
        </w:rPr>
        <w:t xml:space="preserve">Aufgabe 4 – Teilmengenkonstruktion</w:t>
      </w:r>
    </w:p>
    <w:tbl>
      <w:tblPr>
        <w:tblW w:type="dxa" w:w="9866"/>
        <w:tblBorders>
          <w:top w:val="single" w:color="C9D3D6" w:sz="4"/>
          <w:left w:val="single" w:color="C9D3D6" w:sz="4"/>
          <w:bottom w:val="single" w:color="C9D3D6" w:sz="4"/>
          <w:right w:val="single" w:color="C9D3D6" w:sz="4"/>
          <w:insideH w:val="single" w:color="C9D3D6" w:sz="4"/>
          <w:insideV w:val="single" w:color="C9D3D6" w:sz="4"/>
        </w:tblBorders>
        <w:tblLayout w:type="fixed"/>
      </w:tblPr>
      <w:tblGrid>
        <w:gridCol w:w="2835"/>
        <w:gridCol w:w="2268"/>
        <w:gridCol w:w="2268"/>
        <w:gridCol w:w="2495"/>
      </w:tblGrid>
      <w:tr>
        <w:trPr>
          <w:cantSplit/>
          <w:tblHeader/>
        </w:trPr>
        <w:tc>
          <w:tcPr>
            <w:tcW w:type="dxa" w:w="2835"/>
            <w:shd w:fill="0E6455" w:color="auto" w:val="clear"/>
            <w:tcMar>
              <w:top w:type="dxa" w:w="50"/>
              <w:left w:type="dxa" w:w="120"/>
              <w:bottom w:type="dxa" w:w="50"/>
              <w:right w:type="dxa" w:w="120"/>
            </w:tcMar>
            <w:vAlign w:val="center"/>
          </w:tcPr>
          <w:p>
            <w:pPr>
              <w:spacing w:after="40" w:before="0" w:line="276"/>
              <w:jc w:val="left"/>
            </w:pPr>
            <w:r>
              <w:rPr>
                <w:rFonts w:ascii="Calibri" w:cs="Calibri" w:eastAsia="Calibri" w:hAnsi="Calibri"/>
                <w:b/>
                <w:bCs/>
                <w:color w:val="FFFFFF"/>
                <w:sz w:val="19"/>
                <w:szCs w:val="19"/>
              </w:rPr>
              <w:t xml:space="preserve">Menge (DEA-Zustand)</w:t>
            </w:r>
          </w:p>
        </w:tc>
        <w:tc>
          <w:tcPr>
            <w:tcW w:type="dxa" w:w="2268"/>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mit a</w:t>
            </w:r>
          </w:p>
        </w:tc>
        <w:tc>
          <w:tcPr>
            <w:tcW w:type="dxa" w:w="2268"/>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mit b</w:t>
            </w:r>
          </w:p>
        </w:tc>
        <w:tc>
          <w:tcPr>
            <w:tcW w:type="dxa" w:w="2495"/>
            <w:shd w:fill="0E6455" w:color="auto" w:val="clear"/>
            <w:tcMar>
              <w:top w:type="dxa" w:w="50"/>
              <w:left w:type="dxa" w:w="120"/>
              <w:bottom w:type="dxa" w:w="50"/>
              <w:right w:type="dxa" w:w="120"/>
            </w:tcMar>
            <w:vAlign w:val="center"/>
          </w:tcPr>
          <w:p>
            <w:pPr>
              <w:spacing w:after="40" w:before="0" w:line="276"/>
              <w:jc w:val="center"/>
            </w:pPr>
            <w:r>
              <w:rPr>
                <w:rFonts w:ascii="Calibri" w:cs="Calibri" w:eastAsia="Calibri" w:hAnsi="Calibri"/>
                <w:b/>
                <w:bCs/>
                <w:color w:val="FFFFFF"/>
                <w:sz w:val="19"/>
                <w:szCs w:val="19"/>
              </w:rPr>
              <w:t xml:space="preserve">Endzustand?</w:t>
            </w:r>
          </w:p>
        </w:tc>
      </w:tr>
      <w:tr>
        <w:trPr>
          <w:cantSplit/>
          <w:tblHeader w:val="false"/>
        </w:trPr>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 S1}</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w:t>
            </w:r>
          </w:p>
        </w:tc>
        <w:tc>
          <w:tcPr>
            <w:tcW w:type="dxa" w:w="2495"/>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r>
      <w:tr>
        <w:trPr>
          <w:cantSplit/>
          <w:tblHeader w:val="false"/>
        </w:trPr>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S1}</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 S1}</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 S2}</w:t>
            </w:r>
          </w:p>
        </w:tc>
        <w:tc>
          <w:tcPr>
            <w:tcW w:type="dxa" w:w="2495"/>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nein</w:t>
            </w:r>
          </w:p>
        </w:tc>
      </w:tr>
      <w:tr>
        <w:trPr>
          <w:cantSplit/>
          <w:tblHeader w:val="false"/>
        </w:trPr>
        <w:tc>
          <w:tcPr>
            <w:tcW w:type="dxa" w:w="2835"/>
            <w:tcMar>
              <w:top w:type="dxa" w:w="50"/>
              <w:left w:type="dxa" w:w="120"/>
              <w:bottom w:type="dxa" w:w="50"/>
              <w:right w:type="dxa" w:w="120"/>
            </w:tcMar>
            <w:vAlign w:val="center"/>
          </w:tcPr>
          <w:p>
            <w:pPr>
              <w:spacing w:after="40" w:before="0" w:line="276"/>
              <w:jc w:val="left"/>
            </w:pPr>
            <w:r>
              <w:rPr>
                <w:rFonts w:ascii="Calibri" w:cs="Calibri" w:eastAsia="Calibri" w:hAnsi="Calibri"/>
                <w:color w:val="1F2A2E"/>
                <w:sz w:val="19"/>
                <w:szCs w:val="19"/>
              </w:rPr>
              <w:t xml:space="preserve">{S0, S2}</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 S1}</w:t>
            </w:r>
          </w:p>
        </w:tc>
        <w:tc>
          <w:tcPr>
            <w:tcW w:type="dxa" w:w="2268"/>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{S0}</w:t>
            </w:r>
          </w:p>
        </w:tc>
        <w:tc>
          <w:tcPr>
            <w:tcW w:type="dxa" w:w="2495"/>
            <w:tcMar>
              <w:top w:type="dxa" w:w="50"/>
              <w:left w:type="dxa" w:w="120"/>
              <w:bottom w:type="dxa" w:w="50"/>
              <w:right w:type="dxa" w:w="120"/>
            </w:tcMar>
            <w:vAlign w:val="center"/>
          </w:tcPr>
          <w:p>
            <w:pPr>
              <w:spacing w:after="40" w:before="0" w:line="276"/>
              <w:jc w:val="center"/>
            </w:pPr>
            <w:r>
              <w:rPr>
                <w:rFonts w:ascii="Calibri" w:cs="Calibri" w:eastAsia="Calibri" w:hAnsi="Calibri"/>
                <w:color w:val="1F2A2E"/>
                <w:sz w:val="19"/>
                <w:szCs w:val="19"/>
              </w:rPr>
              <w:t xml:space="preserve">ja</w:t>
            </w:r>
          </w:p>
        </w:tc>
      </w:tr>
    </w:tbl>
    <w:p>
      <w:pPr>
        <w:spacing w:after="140" w:before="0"/>
      </w:pPr>
    </w:p>
    <w:p>
      <w:pPr>
        <w:keepNext/>
        <w:spacing w:after="20" w:before="60"/>
        <w:jc w:val="center"/>
      </w:pPr>
      <w:r>
        <w:drawing>
          <wp:inline distT="0" distB="0" distL="0" distR="0">
            <wp:extent cx="3057525" cy="1257300"/>
            <wp:effectExtent t="0" r="0" b="0" l="0"/>
            <wp:docPr id="1" name="endet_ab_dea.png" descr="DEA aus der Teilmengenkonstruktion (vollständig, mit check() gegen „endet auf ab“ geprüft)" title="DEA aus der Teilmengenkonstruktion (vollständig, mit check() gegen „endet auf ab“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57525" cy="1257300"/>
                    </a:xfrm>
                    <a:prstGeom prst="rect">
                      <a:avLst/>
                    </a:prstGeom>
                  </pic:spPr>
                </pic:pic>
              </a:graphicData>
            </a:graphic>
          </wp:inline>
        </w:drawing>
      </w:r>
    </w:p>
    <w:p>
      <w:pPr>
        <w:spacing w:after="140" w:before="0" w:line="276"/>
        <w:jc w:val="center"/>
      </w:pPr>
      <w:r>
        <w:rPr>
          <w:rFonts w:ascii="Calibri" w:cs="Calibri" w:eastAsia="Calibri" w:hAnsi="Calibri"/>
          <w:i/>
          <w:iCs/>
          <w:color w:val="5B6770"/>
          <w:sz w:val="18"/>
          <w:szCs w:val="18"/>
        </w:rPr>
        <w:t xml:space="preserve">DEA aus der Teilmengenkonstruktion (vollständig, mit check() gegen „endet auf ab“ geprüft)</w:t>
      </w:r>
    </w:p>
    <w:p>
      <w:pPr>
        <w:pStyle w:val="ListParagraph"/>
        <w:numPr>
          <w:ilvl w:val="0"/>
          <w:numId w:val="2"/>
        </w:numPr>
        <w:spacing w:after="60" w:line="264"/>
      </w:pPr>
      <w:r>
        <w:rPr>
          <w:rFonts w:ascii="Calibri" w:cs="Calibri" w:eastAsia="Calibri" w:hAnsi="Calibri"/>
          <w:color w:val="1F2A2E"/>
          <w:sz w:val="22"/>
          <w:szCs w:val="22"/>
        </w:rPr>
        <w:t xml:space="preserve">b) Es entstehen </w:t>
      </w:r>
      <w:r>
        <w:rPr>
          <w:rFonts w:ascii="Calibri" w:cs="Calibri" w:eastAsia="Calibri" w:hAnsi="Calibri"/>
          <w:b/>
          <w:bCs/>
          <w:color w:val="1F2A2E"/>
          <w:sz w:val="22"/>
          <w:szCs w:val="22"/>
        </w:rPr>
        <w:t xml:space="preserve">8 Zustände</w:t>
      </w:r>
      <w:r>
        <w:rPr>
          <w:rFonts w:ascii="Calibri" w:cs="Calibri" w:eastAsia="Calibri" w:hAnsi="Calibri"/>
          <w:color w:val="1F2A2E"/>
          <w:sz w:val="22"/>
          <w:szCs w:val="22"/>
        </w:rPr>
        <w:t xml:space="preserve"> (alle Teilmengen {S0} ∪ X mit X ⊆ {S1, S2, S3}); das Markierungsverfahren zeigt: keiner ist überflüssig. Ein DEA-Zustand merkt sich die </w:t>
      </w:r>
      <w:r>
        <w:rPr>
          <w:rFonts w:ascii="Calibri" w:cs="Calibri" w:eastAsia="Calibri" w:hAnsi="Calibri"/>
          <w:b/>
          <w:bCs/>
          <w:color w:val="1F2A2E"/>
          <w:sz w:val="22"/>
          <w:szCs w:val="22"/>
        </w:rPr>
        <w:t xml:space="preserve">letzten drei Zeichen</w:t>
      </w:r>
      <w:r>
        <w:rPr>
          <w:rFonts w:ascii="Calibri" w:cs="Calibri" w:eastAsia="Calibri" w:hAnsi="Calibri"/>
          <w:color w:val="1F2A2E"/>
          <w:sz w:val="22"/>
          <w:szCs w:val="22"/>
        </w:rPr>
        <w:t xml:space="preserve"> (bzw. welche der letzten drei Positionen eine 1 waren) – 2</w:t>
      </w:r>
      <w:r>
        <w:rPr>
          <w:rFonts w:ascii="Calibri" w:cs="Calibri" w:eastAsia="Calibri" w:hAnsi="Calibri"/>
          <w:color w:val="1F2A2E"/>
          <w:sz w:val="22"/>
          <w:szCs w:val="22"/>
          <w:vertAlign w:val="superscript"/>
        </w:rPr>
        <w:t xml:space="preserve">3</w:t>
      </w:r>
      <w:r>
        <w:rPr>
          <w:rFonts w:ascii="Calibri" w:cs="Calibri" w:eastAsia="Calibri" w:hAnsi="Calibri"/>
          <w:color w:val="1F2A2E"/>
          <w:sz w:val="22"/>
          <w:szCs w:val="22"/>
        </w:rPr>
        <w:t xml:space="preserve"> = 8 Möglichkeiten. Allgemein: „n-letztes Zeichen ist 1“ braucht als DEA 2</w:t>
      </w:r>
      <w:r>
        <w:rPr>
          <w:rFonts w:ascii="Calibri" w:cs="Calibri" w:eastAsia="Calibri" w:hAnsi="Calibri"/>
          <w:color w:val="1F2A2E"/>
          <w:sz w:val="22"/>
          <w:szCs w:val="22"/>
          <w:vertAlign w:val="superscript"/>
        </w:rPr>
        <w:t xml:space="preserve">n</w:t>
      </w:r>
      <w:r>
        <w:rPr>
          <w:rFonts w:ascii="Calibri" w:cs="Calibri" w:eastAsia="Calibri" w:hAnsi="Calibri"/>
          <w:color w:val="1F2A2E"/>
          <w:sz w:val="22"/>
          <w:szCs w:val="22"/>
        </w:rPr>
        <w:t xml:space="preserve"> Zustände, als NEA nur n + 1.</w:t>
      </w:r>
    </w:p>
    <w:p>
      <w:pPr>
        <w:keepNext/>
        <w:spacing w:after="100" w:before="260"/>
      </w:pPr>
      <w:r>
        <w:rPr>
          <w:rFonts w:ascii="Cambria" w:cs="Cambria" w:eastAsia="Cambria" w:hAnsi="Cambria"/>
          <w:b/>
          <w:bCs/>
          <w:color w:val="0E6455"/>
          <w:sz w:val="27"/>
          <w:szCs w:val="27"/>
        </w:rPr>
        <w:t xml:space="preserve">Typische Schwierigkeiten</w:t>
      </w:r>
    </w:p>
    <w:tbl>
      <w:tblPr>
        <w:tblW w:type="dxa" w:w="9866"/>
        <w:tblBorders>
          <w:top w:val="single" w:color="F7E3E3" w:sz="6"/>
          <w:left w:val="single" w:color="F7E3E3" w:sz="6"/>
          <w:bottom w:val="single" w:color="F7E3E3" w:sz="6"/>
          <w:right w:val="single" w:color="F7E3E3" w:sz="6"/>
          <w:insideH w:val="none" w:color="FFFFFF" w:sz="0"/>
          <w:insideV w:val="none" w:color="FFFFFF" w:sz="0"/>
        </w:tblBorders>
        <w:tblLayout w:type="fixed"/>
      </w:tblPr>
      <w:tblGrid>
        <w:gridCol w:w="9866"/>
      </w:tblGrid>
      <w:tr>
        <w:trPr>
          <w:cantSplit/>
        </w:trPr>
        <w:tc>
          <w:tcPr>
            <w:tcW w:type="dxa" w:w="9866"/>
            <w:shd w:fill="F7E3E3" w:color="auto" w:val="clear"/>
            <w:tcMar>
              <w:top w:type="dxa" w:w="120"/>
              <w:left w:type="dxa" w:w="200"/>
              <w:bottom w:type="dxa" w:w="100"/>
              <w:right w:type="dxa" w:w="200"/>
            </w:tcMar>
            <w:vAlign w:val="top"/>
          </w:tcPr>
          <w:p>
            <w:pPr>
              <w:keepNext/>
              <w:spacing w:after="80"/>
            </w:pPr>
            <w:r>
              <w:rPr>
                <w:rFonts w:ascii="Cambria" w:cs="Cambria" w:eastAsia="Cambria" w:hAnsi="Cambria"/>
                <w:b/>
                <w:bCs/>
                <w:color w:val="A83232"/>
                <w:sz w:val="23"/>
                <w:szCs w:val="23"/>
              </w:rPr>
              <w:t xml:space="preserve">Darauf achten</w:t>
            </w:r>
          </w:p>
          <w:p>
            <w:pPr>
              <w:pStyle w:val="ListParagraph"/>
              <w:numPr>
                <w:ilvl w:val="0"/>
                <w:numId w:val="2"/>
              </w:numPr>
              <w:spacing w:after="60" w:line="264"/>
            </w:pPr>
            <w:r>
              <w:rPr>
                <w:rFonts w:ascii="Calibri" w:cs="Calibri" w:eastAsia="Calibri" w:hAnsi="Calibri"/>
                <w:b/>
                <w:bCs/>
                <w:color w:val="1F2A2E"/>
                <w:sz w:val="22"/>
                <w:szCs w:val="22"/>
              </w:rPr>
              <w:t xml:space="preserve">Akzeptanz falsch verstanden:</w:t>
            </w:r>
            <w:r>
              <w:rPr>
                <w:rFonts w:ascii="Calibri" w:cs="Calibri" w:eastAsia="Calibri" w:hAnsi="Calibri"/>
                <w:color w:val="1F2A2E"/>
                <w:sz w:val="22"/>
                <w:szCs w:val="22"/>
              </w:rPr>
              <w:t xml:space="preserve"> „Eine Figur ist ausgeschieden, also abgelehnt.“ – Entscheidend ist, ob </w:t>
            </w:r>
            <w:r>
              <w:rPr>
                <w:rFonts w:ascii="Calibri" w:cs="Calibri" w:eastAsia="Calibri" w:hAnsi="Calibri"/>
                <w:b/>
                <w:bCs/>
                <w:color w:val="1F2A2E"/>
                <w:sz w:val="22"/>
                <w:szCs w:val="22"/>
              </w:rPr>
              <w:t xml:space="preserve">mindestens eine</w:t>
            </w:r>
            <w:r>
              <w:rPr>
                <w:rFonts w:ascii="Calibri" w:cs="Calibri" w:eastAsia="Calibri" w:hAnsi="Calibri"/>
                <w:color w:val="1F2A2E"/>
                <w:sz w:val="22"/>
                <w:szCs w:val="22"/>
              </w:rPr>
              <w:t xml:space="preserve"> Figur am Ende im Endzustand steht.</w:t>
            </w:r>
          </w:p>
          <w:p>
            <w:pPr>
              <w:pStyle w:val="ListParagraph"/>
              <w:numPr>
                <w:ilvl w:val="0"/>
                <w:numId w:val="2"/>
              </w:numPr>
              <w:spacing w:after="60" w:line="264"/>
            </w:pPr>
            <w:r>
              <w:rPr>
                <w:rFonts w:ascii="Calibri" w:cs="Calibri" w:eastAsia="Calibri" w:hAnsi="Calibri"/>
                <w:b/>
                <w:bCs/>
                <w:color w:val="1F2A2E"/>
                <w:sz w:val="22"/>
                <w:szCs w:val="22"/>
              </w:rPr>
              <w:t xml:space="preserve">ε als Zeichen:</w:t>
            </w:r>
            <w:r>
              <w:rPr>
                <w:rFonts w:ascii="Calibri" w:cs="Calibri" w:eastAsia="Calibri" w:hAnsi="Calibri"/>
                <w:color w:val="1F2A2E"/>
                <w:sz w:val="22"/>
                <w:szCs w:val="22"/>
              </w:rPr>
              <w:t xml:space="preserve"> ε gehört nicht zu Σ; ε-Übergänge werden </w:t>
            </w:r>
            <w:r>
              <w:rPr>
                <w:rFonts w:ascii="Calibri" w:cs="Calibri" w:eastAsia="Calibri" w:hAnsi="Calibri"/>
                <w:b/>
                <w:bCs/>
                <w:color w:val="1F2A2E"/>
                <w:sz w:val="22"/>
                <w:szCs w:val="22"/>
              </w:rPr>
              <w:t xml:space="preserve">vor</w:t>
            </w:r>
            <w:r>
              <w:rPr>
                <w:rFonts w:ascii="Calibri" w:cs="Calibri" w:eastAsia="Calibri" w:hAnsi="Calibri"/>
                <w:color w:val="1F2A2E"/>
                <w:sz w:val="22"/>
                <w:szCs w:val="22"/>
              </w:rPr>
              <w:t xml:space="preserve"> dem ersten Zeichen und nach jedem Zeichen mitberücksichtigt (ε-Hülle).</w:t>
            </w:r>
          </w:p>
          <w:p>
            <w:pPr>
              <w:pStyle w:val="ListParagraph"/>
              <w:numPr>
                <w:ilvl w:val="0"/>
                <w:numId w:val="2"/>
              </w:numPr>
              <w:spacing w:after="60" w:line="264"/>
            </w:pPr>
            <w:r>
              <w:rPr>
                <w:rFonts w:ascii="Calibri" w:cs="Calibri" w:eastAsia="Calibri" w:hAnsi="Calibri"/>
                <w:b/>
                <w:bCs/>
                <w:color w:val="1F2A2E"/>
                <w:sz w:val="22"/>
                <w:szCs w:val="22"/>
              </w:rPr>
              <w:t xml:space="preserve">Raten ≠ Zufall:</w:t>
            </w:r>
            <w:r>
              <w:rPr>
                <w:rFonts w:ascii="Calibri" w:cs="Calibri" w:eastAsia="Calibri" w:hAnsi="Calibri"/>
                <w:color w:val="1F2A2E"/>
                <w:sz w:val="22"/>
                <w:szCs w:val="22"/>
              </w:rPr>
              <w:t xml:space="preserve"> Ein NEA würfelt nicht – er verfolgt (gedanklich) </w:t>
            </w:r>
            <w:r>
              <w:rPr>
                <w:rFonts w:ascii="Calibri" w:cs="Calibri" w:eastAsia="Calibri" w:hAnsi="Calibri"/>
                <w:b/>
                <w:bCs/>
                <w:color w:val="1F2A2E"/>
                <w:sz w:val="22"/>
                <w:szCs w:val="22"/>
              </w:rPr>
              <w:t xml:space="preserve">alle</w:t>
            </w:r>
            <w:r>
              <w:rPr>
                <w:rFonts w:ascii="Calibri" w:cs="Calibri" w:eastAsia="Calibri" w:hAnsi="Calibri"/>
                <w:color w:val="1F2A2E"/>
                <w:sz w:val="22"/>
                <w:szCs w:val="22"/>
              </w:rPr>
              <w:t xml:space="preserve"> Möglichkeiten gleichzeitig.</w:t>
            </w:r>
          </w:p>
          <w:p>
            <w:pPr>
              <w:pStyle w:val="ListParagraph"/>
              <w:numPr>
                <w:ilvl w:val="0"/>
                <w:numId w:val="2"/>
              </w:numPr>
              <w:spacing w:after="60" w:line="264"/>
            </w:pPr>
            <w:r>
              <w:rPr>
                <w:rFonts w:ascii="Calibri" w:cs="Calibri" w:eastAsia="Calibri" w:hAnsi="Calibri"/>
                <w:b/>
                <w:bCs/>
                <w:color w:val="1F2A2E"/>
                <w:sz w:val="22"/>
                <w:szCs w:val="22"/>
              </w:rPr>
              <w:t xml:space="preserve">Leere Menge:</w:t>
            </w:r>
            <w:r>
              <w:rPr>
                <w:rFonts w:ascii="Calibri" w:cs="Calibri" w:eastAsia="Calibri" w:hAnsi="Calibri"/>
                <w:color w:val="1F2A2E"/>
                <w:sz w:val="22"/>
                <w:szCs w:val="22"/>
              </w:rPr>
              <w:t xml:space="preserve"> Sind alle Figuren ausgeschieden (∅), bleibt es bis zum Ende bei ∅ – die Eingabe wird abgelehnt.</w:t>
            </w:r>
          </w:p>
          <w:p>
            <w:pPr>
              <w:spacing w:after="0" w:before="100"/>
            </w:pPr>
            <w:r>
              <w:rPr>
                <w:rFonts w:ascii="Calibri" w:cs="Calibri" w:eastAsia="Calibri" w:hAnsi="Calibri"/>
                <w:b/>
                <w:bCs/>
                <w:color w:val="A83232"/>
                <w:sz w:val="17"/>
                <w:szCs w:val="17"/>
              </w:rPr>
              <w:t xml:space="preserve">Abitur-Fallen: </w:t>
            </w:r>
            <w:r>
              <w:rPr>
                <w:rFonts w:ascii="Calibri" w:cs="Calibri" w:eastAsia="Calibri" w:hAnsi="Calibri"/>
                <w:b/>
                <w:bCs/>
                <w:color w:val="A83232"/>
                <w:sz w:val="17"/>
                <w:szCs w:val="17"/>
              </w:rPr>
              <w:t xml:space="preserve">P2 </w:t>
            </w:r>
            <w:r>
              <w:rPr>
                <w:rFonts w:ascii="Calibri" w:cs="Calibri" w:eastAsia="Calibri" w:hAnsi="Calibri"/>
                <w:color w:val="5B6770"/>
                <w:sz w:val="17"/>
                <w:szCs w:val="17"/>
              </w:rPr>
              <w:t xml:space="preserve">Akzeptanz falsch entschieden</w:t>
            </w:r>
          </w:p>
        </w:tc>
      </w:tr>
    </w:tbl>
    <w:p>
      <w:pPr>
        <w:spacing w:after="140" w:before="0"/>
      </w:pPr>
    </w:p>
    <w:p>
      <w:pPr>
        <w:keepNext/>
        <w:spacing w:after="100" w:before="260"/>
      </w:pPr>
      <w:r>
        <w:rPr>
          <w:rFonts w:ascii="Cambria" w:cs="Cambria" w:eastAsia="Cambria" w:hAnsi="Cambria"/>
          <w:b/>
          <w:bCs/>
          <w:color w:val="0E6455"/>
          <w:sz w:val="27"/>
          <w:szCs w:val="27"/>
        </w:rPr>
        <w:t xml:space="preserve">Differenzierung</w:t>
      </w:r>
    </w:p>
    <w:p>
      <w:pPr>
        <w:pStyle w:val="ListParagraph"/>
        <w:numPr>
          <w:ilvl w:val="0"/>
          <w:numId w:val="2"/>
        </w:numPr>
        <w:spacing w:after="60" w:line="264"/>
      </w:pPr>
      <w:r>
        <w:rPr>
          <w:rFonts w:ascii="Calibri" w:cs="Calibri" w:eastAsia="Calibri" w:hAnsi="Calibri"/>
          <w:b/>
          <w:bCs/>
          <w:color w:val="1F2A2E"/>
          <w:sz w:val="22"/>
          <w:szCs w:val="22"/>
        </w:rPr>
        <w:t xml:space="preserve">Basis:</w:t>
      </w:r>
      <w:r>
        <w:rPr>
          <w:rFonts w:ascii="Calibri" w:cs="Calibri" w:eastAsia="Calibri" w:hAnsi="Calibri"/>
          <w:color w:val="1F2A2E"/>
          <w:sz w:val="22"/>
          <w:szCs w:val="22"/>
        </w:rPr>
        <w:t xml:space="preserve"> Aufgabe 1 mit Spielplan und Münzen; App-Modus „Simulation“.</w:t>
      </w:r>
    </w:p>
    <w:p>
      <w:pPr>
        <w:pStyle w:val="ListParagraph"/>
        <w:numPr>
          <w:ilvl w:val="0"/>
          <w:numId w:val="2"/>
        </w:numPr>
        <w:spacing w:after="60" w:line="264"/>
      </w:pPr>
      <w:r>
        <w:rPr>
          <w:rFonts w:ascii="Calibri" w:cs="Calibri" w:eastAsia="Calibri" w:hAnsi="Calibri"/>
          <w:b/>
          <w:bCs/>
          <w:color w:val="1F2A2E"/>
          <w:sz w:val="22"/>
          <w:szCs w:val="22"/>
        </w:rPr>
        <w:t xml:space="preserve">Standard:</w:t>
      </w:r>
      <w:r>
        <w:rPr>
          <w:rFonts w:ascii="Calibri" w:cs="Calibri" w:eastAsia="Calibri" w:hAnsi="Calibri"/>
          <w:color w:val="1F2A2E"/>
          <w:sz w:val="22"/>
          <w:szCs w:val="22"/>
        </w:rPr>
        <w:t xml:space="preserve"> Aufgaben 1–3.</w:t>
      </w:r>
    </w:p>
    <w:p>
      <w:pPr>
        <w:pStyle w:val="ListParagraph"/>
        <w:numPr>
          <w:ilvl w:val="0"/>
          <w:numId w:val="2"/>
        </w:numPr>
        <w:spacing w:after="60" w:line="264"/>
      </w:pPr>
      <w:r>
        <w:rPr>
          <w:rFonts w:ascii="Calibri" w:cs="Calibri" w:eastAsia="Calibri" w:hAnsi="Calibri"/>
          <w:b/>
          <w:bCs/>
          <w:color w:val="1F2A2E"/>
          <w:sz w:val="22"/>
          <w:szCs w:val="22"/>
        </w:rPr>
        <w:t xml:space="preserve">Profi:</w:t>
      </w:r>
      <w:r>
        <w:rPr>
          <w:rFonts w:ascii="Calibri" w:cs="Calibri" w:eastAsia="Calibri" w:hAnsi="Calibri"/>
          <w:color w:val="1F2A2E"/>
          <w:sz w:val="22"/>
          <w:szCs w:val="22"/>
        </w:rPr>
        <w:t xml:space="preserve"> Aufgabe 4, App-Modus „Teilmengen“ (Aufgaben 1, 2, 5, 6), Zusatz: „Begründe, dass jeder DEA auch ein NEA ist.“</w:t>
      </w:r>
    </w:p>
    <w:p>
      <w:pPr>
        <w:keepNext/>
        <w:spacing w:after="100" w:before="260"/>
      </w:pPr>
      <w:r>
        <w:rPr>
          <w:rFonts w:ascii="Cambria" w:cs="Cambria" w:eastAsia="Cambria" w:hAnsi="Cambria"/>
          <w:b/>
          <w:bCs/>
          <w:color w:val="0E6455"/>
          <w:sz w:val="27"/>
          <w:szCs w:val="27"/>
        </w:rPr>
        <w:t xml:space="preserve">Hausaufgabe</w:t>
      </w:r>
    </w:p>
    <w:p>
      <w:pPr>
        <w:spacing w:after="100" w:before="0" w:line="276"/>
        <w:jc w:val="left"/>
      </w:pPr>
      <w:r>
        <w:rPr>
          <w:rFonts w:ascii="Calibri" w:cs="Calibri" w:eastAsia="Calibri" w:hAnsi="Calibri"/>
          <w:color w:val="1F2A2E"/>
          <w:sz w:val="22"/>
          <w:szCs w:val="22"/>
        </w:rPr>
        <w:t xml:space="preserve">Entwirf einen NEA über Σ = {0, 1}, der alle Bitfolgen akzeptiert, die mit 01 beginnen </w:t>
      </w:r>
      <w:r>
        <w:rPr>
          <w:rFonts w:ascii="Calibri" w:cs="Calibri" w:eastAsia="Calibri" w:hAnsi="Calibri"/>
          <w:b/>
          <w:bCs/>
          <w:color w:val="1F2A2E"/>
          <w:sz w:val="22"/>
          <w:szCs w:val="22"/>
        </w:rPr>
        <w:t xml:space="preserve">oder</w:t>
      </w:r>
      <w:r>
        <w:rPr>
          <w:rFonts w:ascii="Calibri" w:cs="Calibri" w:eastAsia="Calibri" w:hAnsi="Calibri"/>
          <w:color w:val="1F2A2E"/>
          <w:sz w:val="22"/>
          <w:szCs w:val="22"/>
        </w:rPr>
        <w:t xml:space="preserve"> auf 10 enden (Tipp: ODER-Baustein mit ε). Stelle die Verarbeitung von 0110 und 1010 als Folge von Zustandsmengen dar.</w:t>
      </w:r>
    </w:p>
    <w:sectPr>
      <w:headerReference w:type="default" r:id="rId7"/>
      <w:footerReference w:type="default" r:id="rId8"/>
      <w:pgSz w:w="11906" w:h="16838" w:orient="portrait"/>
      <w:pgMar w:top="900" w:right="1020" w:bottom="900" w:left="10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6"/>
      </w:tabs>
    </w:pPr>
    <w:r>
      <w:rPr>
        <w:rFonts w:ascii="Calibri" w:cs="Calibri" w:eastAsia="Calibri" w:hAnsi="Calibri"/>
        <w:color w:val="5B6770"/>
        <w:sz w:val="16"/>
        <w:szCs w:val="16"/>
      </w:rPr>
      <w:t xml:space="preserve">Max-Planck-Gymnasium Delmenhorst  ·  DS08 · Lehrkraft-Handreichung  ·  CC BY-SA 4.0 Frank Juchim</w:t>
    </w:r>
    <w:r>
      <w:rPr>
        <w:rFonts w:ascii="Calibri" w:cs="Calibri" w:eastAsia="Calibri" w:hAnsi="Calibri"/>
        <w:color w:val="5B6770"/>
        <w:sz w:val="16"/>
        <w:szCs w:val="16"/>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866"/>
      </w:tabs>
    </w:pPr>
    <w:r>
      <w:rPr>
        <w:rFonts w:ascii="Calibri" w:cs="Calibri" w:eastAsia="Calibri" w:hAnsi="Calibri"/>
        <w:color w:val="5B6770"/>
        <w:sz w:val="16"/>
        <w:szCs w:val="16"/>
      </w:rPr>
      <w:t xml:space="preserve">Maschinen, die Sprache verstehen</w:t>
    </w:r>
    <w:r>
      <w:rPr>
        <w:rFonts w:ascii="Calibri" w:cs="Calibri" w:eastAsia="Calibri" w:hAnsi="Calibri"/>
        <w:color w:val="5B6770"/>
        <w:sz w:val="16"/>
        <w:szCs w:val="16"/>
      </w:rPr>
      <w:t xml:space="preserve">	Informatik · Zusatz · Automaten &amp; formale Sprachen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E6455"/>
      </w:rPr>
    </w:lvl>
    <w:lvl w:ilvl="1" w15:tentative="1">
      <w:start w:val="1"/>
      <w:numFmt w:val="bullet"/>
      <w:lvlText w:val="–"/>
      <w:lvlJc w:val="left"/>
      <w:pPr>
        <w:ind w:left="800" w:hanging="260"/>
      </w:pPr>
      <w:rPr>
        <w:color w:val="5B6770"/>
      </w:rPr>
    </w:lvl>
  </w:abstractNum>
  <w:abstractNum w:abstractNumId="3" w15:restartNumberingAfterBreak="0">
    <w:multiLevelType w:val="hybridMultilevel"/>
    <w:lvl w:ilvl="0" w15:tentative="1">
      <w:start w:val="1"/>
      <w:numFmt w:val="decimal"/>
      <w:lvlText w:val="%1."/>
      <w:lvlJc w:val="left"/>
      <w:pPr>
        <w:ind w:left="420" w:hanging="320"/>
      </w:pPr>
      <w:rPr>
        <w:b/>
        <w:bCs/>
        <w:color w:val="0E6455"/>
      </w:rPr>
    </w:lvl>
  </w:abstractNum>
  <w:abstractNum w:abstractNumId="4" w15:restartNumberingAfterBreak="0">
    <w:multiLevelType w:val="hybridMultilevel"/>
    <w:lvl w:ilvl="0" w15:tentative="1">
      <w:start w:val="1"/>
      <w:numFmt w:val="decimal"/>
      <w:lvlText w:val="%1."/>
      <w:lvlJc w:val="left"/>
      <w:pPr>
        <w:ind w:left="420" w:hanging="320"/>
      </w:pPr>
      <w:rPr>
        <w:b/>
        <w:bCs/>
        <w:color w:val="0E6455"/>
      </w:rPr>
    </w:lvl>
  </w:abstractNum>
  <w:abstractNum w:abstractNumId="5" w15:restartNumberingAfterBreak="0">
    <w:multiLevelType w:val="hybridMultilevel"/>
    <w:lvl w:ilvl="0" w15:tentative="1">
      <w:start w:val="1"/>
      <w:numFmt w:val="decimal"/>
      <w:lvlText w:val="%1."/>
      <w:lvlJc w:val="left"/>
      <w:pPr>
        <w:ind w:left="420" w:hanging="320"/>
      </w:pPr>
      <w:rPr>
        <w:b/>
        <w:bCs/>
        <w:color w:val="0E6455"/>
      </w:rPr>
    </w:lvl>
  </w:abstractNum>
  <w:abstractNum w:abstractNumId="6" w15:restartNumberingAfterBreak="0">
    <w:multiLevelType w:val="hybridMultilevel"/>
    <w:lvl w:ilvl="0" w15:tentative="1">
      <w:start w:val="1"/>
      <w:numFmt w:val="decimal"/>
      <w:lvlText w:val="%1."/>
      <w:lvlJc w:val="left"/>
      <w:pPr>
        <w:ind w:left="420" w:hanging="320"/>
      </w:pPr>
      <w:rPr>
        <w:b/>
        <w:bCs/>
        <w:color w:val="0E6455"/>
      </w:rPr>
    </w:lvl>
  </w:abstractNum>
  <w:abstractNum w:abstractNumId="7" w15:restartNumberingAfterBreak="0">
    <w:multiLevelType w:val="hybridMultilevel"/>
    <w:lvl w:ilvl="0" w15:tentative="1">
      <w:start w:val="1"/>
      <w:numFmt w:val="decimal"/>
      <w:lvlText w:val="%1."/>
      <w:lvlJc w:val="left"/>
      <w:pPr>
        <w:ind w:left="420" w:hanging="320"/>
      </w:pPr>
      <w:rPr>
        <w:b/>
        <w:bCs/>
        <w:color w:val="0E6455"/>
      </w:rPr>
    </w:lvl>
  </w:abstractNum>
  <w:abstractNum w:abstractNumId="8" w15:restartNumberingAfterBreak="0">
    <w:multiLevelType w:val="hybridMultilevel"/>
    <w:lvl w:ilvl="0" w15:tentative="1">
      <w:start w:val="1"/>
      <w:numFmt w:val="decimal"/>
      <w:lvlText w:val="%1."/>
      <w:lvlJc w:val="left"/>
      <w:pPr>
        <w:ind w:left="420" w:hanging="320"/>
      </w:pPr>
      <w:rPr>
        <w:b/>
        <w:bCs/>
        <w:color w:val="0E645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22e2e607c443cc105f26844816c7e0af8ec0edf.png"/><Relationship Id="rId10" Type="http://schemas.openxmlformats.org/officeDocument/2006/relationships/image" Target="media/61b76d5ad4a47d2b168653d792b5054ecbcd71b7.png"/><Relationship Id="rId11" Type="http://schemas.openxmlformats.org/officeDocument/2006/relationships/image" Target="media/deec15d4ecb24e58de1dcc4677cc51ef796dc4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Raten erlaubt</dc:title>
  <dc:creator>Frank Juchim</dc:creator>
  <dc:description>Informatik gA/eA – Automaten und formale Sprachen</dc:description>
  <cp:lastModifiedBy>Un-named</cp:lastModifiedBy>
  <cp:revision>1</cp:revision>
  <dcterms:created xsi:type="dcterms:W3CDTF">2026-10-14T16:08:09.072Z</dcterms:created>
  <dcterms:modified xsi:type="dcterms:W3CDTF">2026-10-14T16:08:09.072Z</dcterms:modified>
</cp:coreProperties>
</file>

<file path=docProps/custom.xml><?xml version="1.0" encoding="utf-8"?>
<Properties xmlns="http://schemas.openxmlformats.org/officeDocument/2006/custom-properties" xmlns:vt="http://schemas.openxmlformats.org/officeDocument/2006/docPropsVTypes"/>
</file>