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Erwartungshorizont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Boss-Level C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C: Erwartungshorizont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Die Lichtregie · Formale Sprachen · 25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Erwartungshorizont zum Boss-Level C „Die Lichtregie“. Alle Grammatiken, Automaten und Ableitungen wurden bei der Erstellung automatisch geprüft (Sprachvergleich bis Wortlänge 7–8). Gleichwertige Lösungen sind entsprechend zu bewerten.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80"/>
        <w:gridCol w:w="7598"/>
        <w:gridCol w:w="737"/>
        <w:gridCol w:w="851"/>
      </w:tblGrid>
      <w:tr>
        <w:trPr>
          <w:cantSplit/>
          <w:tblHeader/>
        </w:trPr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</w:t>
            </w:r>
          </w:p>
        </w:tc>
        <w:tc>
          <w:tcPr>
            <w:tcW w:type="dxa" w:w="759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Erwartete Leistung</w:t>
            </w:r>
          </w:p>
        </w:tc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8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rhd;bh;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wird erzeugt: S ⇒ rA ⇒ rhB ⇒ rhdB ⇒ rhd;C ⇒ rhd;bA ⇒ rhd;bhB ⇒ rhd;bh;C ⇒ rhd;bh; (1 BE).</w:t>
            </w:r>
          </w:p>
          <w:p>
            <w:pPr>
              <w:spacing w:after="6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gh;;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wird nicht erzeugt: Nach dem ersten ; befindet man sich in C; aus C entsteht nur eine neue Szene (r, g oder b) oder das Ende (ε), aber kein weiteres ; (1 BE).</w:t>
            </w:r>
          </w:p>
          <w:p>
            <w:pPr>
              <w:spacing w:after="6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8"/>
                <w:szCs w:val="18"/>
              </w:rPr>
              <w:t xml:space="preserve">r;h;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wird nicht erzeugt: Nach r folgt A, aus A entsteht nur h oder d, nicht ; – jede Szene braucht mindestens eine Helligkeitsänderung (1 BE).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In der aktuellen Szene ist eine Farbe gewählt und mindestens eine Helligkeitsänderung erfolgt; es dürfen weitere Änderungen folgen oder die Szene wird mit ; abgeschlossen (1 BE).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C: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Die letzte Szene ist abgeschlossen; das Skript darf hier enden (C → ε) oder mit einer neuen Szene fortgesetzt werden (1 BE).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c)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 nach dem Übersetzungsrezept (S0 = S, S1 = A, S2 = B, S3 = C; S3 Endzustand wegen C → ε). Bewertung: Zustände mit Start- und Endzustand 1 BE, Übergänge 3 BE (je Zustand mit seinen ausgehenden Übergängen ca. 1 BE; der Fehlerzustand darf laut Aufgabenstellung fehlen).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419475" cy="933450"/>
                  <wp:effectExtent t="0" r="0" b="0" l="0"/>
                  <wp:docPr id="1" name="boss_dea.png" descr="Σ = {r, g, b, h, d, ;}. Alle nicht eingezeichneten Übergänge führen in einen Fehlerzustand." title="Σ = {r, g, b, h, d, ;}. 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47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Σ = {r, g, b, h, d, ;}. Alle nicht eingezeichneten Übergänge führen in einen Fehlerzustand.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d)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Nichtterminale zählen die Helligkeitsänderungen der aktuellen Szene (B1, B2, B3 = eine, zwei, drei Änderungen); aus B3 ist nur noch ; möglich (Struktur 2 BE, Korrektheit 1 BE):</w:t>
            </w:r>
          </w:p>
          <w:tbl>
            <w:tblPr>
              <w:tblW w:type="dxa" w:w="4820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20"/>
            </w:tblGrid>
            <w:tr>
              <w:trPr>
                <w:cantSplit/>
              </w:trPr>
              <w:tc>
                <w:tcPr>
                  <w:tcW w:type="dxa" w:w="4820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S → rA | gA | bA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 → hB1 | dB1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B1 → hB2 | dB2 | ;C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B2 → hB3 | dB3 | ;C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B3 → ;C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C → rA | gA | bA | ε</w:t>
                  </w:r>
                </w:p>
              </w:tc>
            </w:tr>
          </w:tbl>
          <w:p>
            <w:pPr>
              <w:spacing w:after="120" w:before="0"/>
            </w:pP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Ableitung (je Abschnitt Block – innerer Block – letzte Szene 1 BE; ein Ableitungsbaum ist gleichwertig):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⇒ KS ⇒ [S]S ⇒ [KS]S ⇒ [FH;S]S ⇒ [rH;S]S ⇒ [rh;S]S ⇒ [rh;K]S ⇒ [rh;[S]]S ⇒ [rh;[K]]S ⇒ [rh;[FH;]]S ⇒ [rh;[gH;]]S ⇒ [rh;[gd;]]S ⇒ [rh;[gd;]]K ⇒ [rh;[gd;]]FH; ⇒ [rh;[gd;]]bH; ⇒ [rh;[gd;]]bh;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f)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Annahme: Ein DEA mit k Zuständen akzeptiert genau die LiSa2-Skripte (1 BE). Betrachtet werden die k + 1 Präfixe ε, [, [[, …, [ᵏ. Nach dem Schubfachprinzip endet der DEA bei zwei Präfixen [ⁱ und [ʲ mit i ≠ j im selben Zustand (1 BE).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Hängt man an beide dieselbe Fortsetzung rh; ]ⁱ an, verhält sich der DEA gleich. [ⁱrh;]ⁱ ist ein gültiges Skript, [ʲrh;]ⁱ nicht, da die Anzahl der Klammern nicht übereinstimmt (1 BE). Widerspruch – es gibt keinen solchen DEA; ein endlicher Automat kann die beliebige Schachtelungstiefe nicht speichern (1 BE).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verschiedene Linksableitungen bzw. Bäume (je Baum 1 BE, Begründung der Verschiedenheit 1 BE): Im ersten Baum wird zuerst „rh;gh;“ zu einem Teil zusammengefasst ((rh; gh;) bh;), im zweiten „gh;bh;“ (rh; (gh; bh;)).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72"/>
              <w:gridCol w:w="3686"/>
            </w:tblGrid>
            <w:tr>
              <w:trPr>
                <w:cantSplit/>
              </w:trPr>
              <w:tc>
                <w:tcPr>
                  <w:tcW w:type="dxa" w:w="35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keepNext/>
                    <w:spacing w:after="20" w:before="60"/>
                    <w:jc w:val="center"/>
                  </w:pPr>
                  <w:r>
                    <w:drawing>
                      <wp:inline distT="0" distB="0" distL="0" distR="0">
                        <wp:extent cx="2085975" cy="1228725"/>
                        <wp:effectExtent t="0" r="0" b="0" l="0"/>
                        <wp:docPr id="1" name="boss_mehrdeutig_1.png" descr="Baum 1: (rh; gh;) bh;" title="Baum 1: (rh; gh;) bh;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85975" cy="1228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770"/>
                      <w:sz w:val="18"/>
                      <w:szCs w:val="18"/>
                    </w:rPr>
                    <w:t xml:space="preserve">Baum 1: (rh; gh;) bh;</w:t>
                  </w:r>
                </w:p>
              </w:tc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</w:tcPr>
                <w:p>
                  <w:pPr>
                    <w:keepNext/>
                    <w:spacing w:after="20" w:before="60"/>
                    <w:jc w:val="center"/>
                  </w:pPr>
                  <w:r>
                    <w:drawing>
                      <wp:inline distT="0" distB="0" distL="0" distR="0">
                        <wp:extent cx="2085975" cy="1228725"/>
                        <wp:effectExtent t="0" r="0" b="0" l="0"/>
                        <wp:docPr id="1" name="boss_mehrdeutig_2.png" descr="Baum 2: rh; (gh; bh;)" title="Baum 2: rh; (gh; bh;)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85975" cy="1228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770"/>
                      <w:sz w:val="18"/>
                      <w:szCs w:val="18"/>
                    </w:rPr>
                    <w:t xml:space="preserve">Baum 2: rh; (gh; bh;)</w:t>
                  </w:r>
                </w:p>
              </w:tc>
            </w:tr>
          </w:tbl>
          <w:p/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h)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LiSa: Typ 3 (regulär)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– G1 ist rechtsregulär bzw. es gibt den DEA aus c); möglichst spezielle Maschine: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DEA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(1 BE).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LiSa2: Typ 2 (kontextfrei)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– G2 ist kontextfrei, die Sprache ist nach f) nicht regulär; Maschine: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Kellerautomat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der für jede öffnende Klammer ein Zeichen ablegt und bei jeder schließenden eines entfernt (2 BE).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Summe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25</w:t>
            </w:r>
          </w:p>
        </w:tc>
        <w:tc>
          <w:tcPr>
            <w:tcW w:type="dxa" w:w="8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Verteilung der Anforderungsbereiche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</w:t>
            </w:r>
          </w:p>
        </w:tc>
        <w:tc>
          <w:tcPr>
            <w:tcW w:type="dxa" w:w="24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II</w:t>
            </w:r>
          </w:p>
        </w:tc>
        <w:tc>
          <w:tcPr>
            <w:tcW w:type="dxa" w:w="24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III</w:t>
            </w:r>
          </w:p>
        </w:tc>
        <w:tc>
          <w:tcPr>
            <w:tcW w:type="dxa" w:w="246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gesamt</w:t>
            </w:r>
          </w:p>
        </w:tc>
      </w:tr>
      <w:tr>
        <w:trPr>
          <w:cantSplit/>
          <w:tblHeader w:val="false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 BE (24 %)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 BE (60 %)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 BE (16 %)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25 BE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Orientierung: Notenpunkte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rPr>
          <w:cantSplit/>
          <w:tblHeader w:val="false"/>
        </w:trPr>
        <w:tc>
          <w:tcPr>
            <w:tcW w:type="dxa" w:w="1096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24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23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22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20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19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18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17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15</w:t>
            </w:r>
          </w:p>
        </w:tc>
      </w:tr>
      <w:tr>
        <w:trPr>
          <w:cantSplit/>
          <w:tblHeader w:val="false"/>
        </w:trPr>
        <w:tc>
          <w:tcPr>
            <w:tcW w:type="dxa" w:w="1096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Punkte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15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14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13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12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11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10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9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096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14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13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12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10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9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7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≥ 5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&lt; 5</w:t>
            </w:r>
          </w:p>
        </w:tc>
      </w:tr>
      <w:tr>
        <w:trPr>
          <w:cantSplit/>
          <w:tblHeader w:val="false"/>
        </w:trPr>
        <w:tc>
          <w:tcPr>
            <w:tcW w:type="dxa" w:w="1096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Punkte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7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5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Grundlage: 95 % → 15 Punkte, 90 % → 14, 85 % → 13, 80 % → 12, 75 % → 11, 70 % → 10, 65 % → 9, 60 % → 8, 55 % → 7, 50 % → 6, 45 % → 5, 40 % → 4, 33 % → 3, 27 % → 2, 20 % → 1 (aufgerundet auf ganze BE).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C · Erwartungshorizont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c554090e0ac06a38dce07c391e632869a95280e.png"/><Relationship Id="rId10" Type="http://schemas.openxmlformats.org/officeDocument/2006/relationships/image" Target="media/a879fda8dd8f3e3942b03f3fd842d00f2ddbcadb.png"/><Relationship Id="rId11" Type="http://schemas.openxmlformats.org/officeDocument/2006/relationships/image" Target="media/ff348aa2d6a3506197cc9f93222800c5ff04d1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C: Erwartungshorizont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2026-10-12T09:28:47.860Z</dcterms:created>
  <dcterms:modified xsi:type="dcterms:W3CDTF">2026-10-12T09:28:47.860Z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