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86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7031"/>
        <w:gridCol w:w="2835"/>
      </w:tblGrid>
      <w:tr>
        <w:tc>
          <w:tcPr>
            <w:tcW w:type="dxa" w:w="7031"/>
            <w:tcBorders>
              <w:top w:val="none" w:color="FFFFFF" w:sz="0"/>
              <w:left w:val="none" w:color="FFFFFF" w:sz="0"/>
              <w:bottom w:val="none" w:color="FFFFFF" w:sz="0"/>
              <w:right w:val="none" w:color="FFFFFF" w:sz="0"/>
            </w:tcBorders>
            <w:tcMar>
              <w:top w:type="dxa" w:w="0"/>
              <w:left w:type="dxa" w:w="0"/>
              <w:bottom w:type="dxa" w:w="0"/>
              <w:right w:type="dxa" w:w="0"/>
            </w:tcMar>
          </w:tcPr>
          <w:p>
            <w:pPr>
              <w:spacing w:after="40"/>
            </w:pPr>
            <w:r>
              <w:rPr>
                <w:rFonts w:ascii="Calibri" w:cs="Calibri" w:eastAsia="Calibri" w:hAnsi="Calibri"/>
                <w:b/>
                <w:bCs/>
                <w:color w:val="B26A0F"/>
                <w:sz w:val="18"/>
                <w:szCs w:val="18"/>
              </w:rPr>
              <w:t xml:space="preserve">Lehrkraft-Handreichung</w:t>
            </w:r>
            <w:r>
              <w:rPr>
                <w:rFonts w:ascii="Calibri" w:cs="Calibri" w:eastAsia="Calibri" w:hAnsi="Calibri"/>
                <w:color w:val="5B6770"/>
                <w:sz w:val="18"/>
                <w:szCs w:val="18"/>
              </w:rPr>
              <w:t xml:space="preserve">   Level 11  ·  Welt C · Formale Sprachen  ·  Niveau: nur eA (Leistungskurs)</w:t>
            </w:r>
          </w:p>
          <w:p>
            <w:pPr>
              <w:spacing w:after="40" w:before="20"/>
            </w:pPr>
            <w:r>
              <w:rPr>
                <w:rFonts w:ascii="Cambria" w:cs="Cambria" w:eastAsia="Cambria" w:hAnsi="Cambria"/>
                <w:b/>
                <w:bCs/>
                <w:color w:val="0E6455"/>
                <w:sz w:val="40"/>
                <w:szCs w:val="40"/>
              </w:rPr>
              <w:t xml:space="preserve">Sprache – natürlich oder formal?</w:t>
            </w:r>
          </w:p>
          <w:p>
            <w:pPr>
              <w:spacing w:after="0"/>
            </w:pPr>
            <w:r>
              <w:rPr>
                <w:rFonts w:ascii="Calibri" w:cs="Calibri" w:eastAsia="Calibri" w:hAnsi="Calibri"/>
                <w:color w:val="5B6770"/>
                <w:sz w:val="22"/>
                <w:szCs w:val="22"/>
              </w:rPr>
              <w:t xml:space="preserve">Grammatiken, Ableitungen und Ableitungsbäume</w:t>
            </w:r>
          </w:p>
        </w:tc>
        <w:tc>
          <w:tcPr>
            <w:tcW w:type="dxa" w:w="2835"/>
            <w:tcBorders>
              <w:top w:val="none" w:color="FFFFFF" w:sz="0"/>
              <w:left w:val="none" w:color="FFFFFF" w:sz="0"/>
              <w:bottom w:val="none" w:color="FFFFFF" w:sz="0"/>
              <w:right w:val="none" w:color="FFFFFF" w:sz="0"/>
            </w:tcBorders>
            <w:tcMar>
              <w:top w:type="dxa" w:w="0"/>
              <w:left w:type="dxa" w:w="120"/>
              <w:bottom w:type="dxa" w:w="0"/>
              <w:right w:type="dxa" w:w="0"/>
            </w:tcMar>
            <w:vAlign w:val="bottom"/>
          </w:tcPr>
          <w:p>
            <w:pPr>
              <w:jc w:val="right"/>
            </w:pPr>
            <w:r>
              <w:rPr>
                <w:rFonts w:ascii="Calibri" w:cs="Calibri" w:eastAsia="Calibri" w:hAnsi="Calibri"/>
                <w:color w:val="5B6770"/>
                <w:sz w:val="18"/>
                <w:szCs w:val="18"/>
              </w:rPr>
              <w:t xml:space="preserve">Informatik eA (Leistungskurs)</w:t>
            </w:r>
          </w:p>
        </w:tc>
      </w:tr>
    </w:tbl>
    <w:p>
      <w:pPr>
        <w:pBdr>
          <w:bottom w:val="single" w:color="0E6455" w:sz="12" w:space="1"/>
        </w:pBdr>
        <w:spacing w:after="200" w:before="60"/>
      </w:pPr>
    </w:p>
    <w:tbl>
      <w:tblPr>
        <w:tblW w:type="dxa" w:w="9866"/>
        <w:tblBorders>
          <w:top w:val="single" w:color="F8ECDB" w:sz="6"/>
          <w:left w:val="single" w:color="F8ECDB" w:sz="6"/>
          <w:bottom w:val="single" w:color="F8ECDB" w:sz="6"/>
          <w:right w:val="single" w:color="F8ECDB" w:sz="6"/>
          <w:insideH w:val="none" w:color="FFFFFF" w:sz="0"/>
          <w:insideV w:val="none" w:color="FFFFFF" w:sz="0"/>
        </w:tblBorders>
        <w:tblLayout w:type="fixed"/>
      </w:tblPr>
      <w:tblGrid>
        <w:gridCol w:w="9866"/>
      </w:tblGrid>
      <w:tr>
        <w:trPr>
          <w:cantSplit/>
        </w:trPr>
        <w:tc>
          <w:tcPr>
            <w:tcW w:type="dxa" w:w="9866"/>
            <w:shd w:fill="FCF6EE" w:color="auto" w:val="clear"/>
            <w:tcMar>
              <w:top w:type="dxa" w:w="120"/>
              <w:left w:type="dxa" w:w="200"/>
              <w:bottom w:type="dxa" w:w="100"/>
              <w:right w:type="dxa" w:w="200"/>
            </w:tcMar>
            <w:vAlign w:val="top"/>
          </w:tcPr>
          <w:p>
            <w:pPr>
              <w:spacing w:after="0"/>
            </w:pPr>
            <w:r>
              <w:rPr>
                <w:rFonts w:ascii="Calibri" w:cs="Calibri" w:eastAsia="Calibri" w:hAnsi="Calibri"/>
                <w:b/>
                <w:bCs/>
                <w:color w:val="B26A0F"/>
                <w:sz w:val="20"/>
                <w:szCs w:val="20"/>
              </w:rPr>
              <w:t xml:space="preserve">Kernfrage  </w:t>
            </w:r>
            <w:r>
              <w:rPr>
                <w:rFonts w:ascii="Cambria" w:cs="Cambria" w:eastAsia="Cambria" w:hAnsi="Cambria"/>
                <w:i/>
                <w:iCs/>
                <w:color w:val="0A4A3F"/>
                <w:sz w:val="24"/>
                <w:szCs w:val="24"/>
              </w:rPr>
              <w:t xml:space="preserve">Wie kann man mit endlich vielen Regeln unendlich viele Wörter oder Sätze beschreiben?</w:t>
            </w:r>
          </w:p>
        </w:tc>
      </w:tr>
    </w:tbl>
    <w:p>
      <w:pPr>
        <w:spacing w:after="160" w:before="0"/>
      </w:pPr>
    </w:p>
    <w:p>
      <w:pPr>
        <w:keepNext/>
        <w:spacing w:after="100" w:before="260"/>
      </w:pPr>
      <w:r>
        <w:rPr>
          <w:rFonts w:ascii="Cambria" w:cs="Cambria" w:eastAsia="Cambria" w:hAnsi="Cambria"/>
          <w:b/>
          <w:bCs/>
          <w:color w:val="0E6455"/>
          <w:sz w:val="27"/>
          <w:szCs w:val="27"/>
        </w:rPr>
        <w:t xml:space="preserve">Überblick</w:t>
      </w:r>
    </w:p>
    <w:tbl>
      <w:tblPr>
        <w:tblW w:type="dxa" w:w="9865"/>
        <w:tblBorders>
          <w:top w:val="single" w:color="C9D3D6" w:sz="4"/>
          <w:left w:val="single" w:color="C9D3D6" w:sz="4"/>
          <w:bottom w:val="single" w:color="C9D3D6" w:sz="4"/>
          <w:right w:val="single" w:color="C9D3D6" w:sz="4"/>
          <w:insideH w:val="single" w:color="C9D3D6" w:sz="4"/>
          <w:insideV w:val="single" w:color="C9D3D6" w:sz="4"/>
        </w:tblBorders>
        <w:tblLayout w:type="fixed"/>
      </w:tblPr>
      <w:tblGrid>
        <w:gridCol w:w="1814"/>
        <w:gridCol w:w="8051"/>
      </w:tblGrid>
      <w:tr>
        <w:trPr>
          <w:cantSplit/>
          <w:tblHeader/>
        </w:trPr>
        <w:tc>
          <w:tcPr>
            <w:tcW w:type="dxa" w:w="1814"/>
            <w:shd w:fill="0E6455" w:color="auto" w:val="clear"/>
            <w:tcMar>
              <w:top w:type="dxa" w:w="50"/>
              <w:left w:type="dxa" w:w="120"/>
              <w:bottom w:type="dxa" w:w="50"/>
              <w:right w:type="dxa" w:w="120"/>
            </w:tcMar>
            <w:vAlign w:val="center"/>
          </w:tcPr>
          <w:p>
            <w:pPr>
              <w:spacing w:after="40" w:before="0" w:line="276"/>
              <w:jc w:val="left"/>
            </w:pPr>
            <w:r>
              <w:rPr>
                <w:rFonts w:ascii="Calibri" w:cs="Calibri" w:eastAsia="Calibri" w:hAnsi="Calibri"/>
                <w:b/>
                <w:bCs/>
                <w:color w:val="FFFFFF"/>
                <w:sz w:val="20"/>
                <w:szCs w:val="20"/>
              </w:rPr>
              <w:t xml:space="preserve">Aspekt</w:t>
            </w:r>
          </w:p>
        </w:tc>
        <w:tc>
          <w:tcPr>
            <w:tcW w:type="dxa" w:w="8051"/>
            <w:shd w:fill="0E6455" w:color="auto" w:val="clear"/>
            <w:tcMar>
              <w:top w:type="dxa" w:w="50"/>
              <w:left w:type="dxa" w:w="120"/>
              <w:bottom w:type="dxa" w:w="50"/>
              <w:right w:type="dxa" w:w="120"/>
            </w:tcMar>
            <w:vAlign w:val="center"/>
          </w:tcPr>
          <w:p>
            <w:pPr>
              <w:spacing w:after="40" w:before="0" w:line="276"/>
              <w:jc w:val="left"/>
            </w:pPr>
            <w:r>
              <w:rPr>
                <w:rFonts w:ascii="Calibri" w:cs="Calibri" w:eastAsia="Calibri" w:hAnsi="Calibri"/>
                <w:b/>
                <w:bCs/>
                <w:color w:val="FFFFFF"/>
                <w:sz w:val="20"/>
                <w:szCs w:val="20"/>
              </w:rPr>
              <w:t xml:space="preserve">Inhalt</w:t>
            </w:r>
          </w:p>
        </w:tc>
      </w:tr>
      <w:tr>
        <w:trPr>
          <w:cantSplit/>
          <w:tblHeader w:val="false"/>
        </w:trPr>
        <w:tc>
          <w:tcPr>
            <w:tcW w:type="dxa" w:w="1814"/>
            <w:shd w:fill="F1F7F6" w:color="auto" w:val="clear"/>
            <w:tcMar>
              <w:top w:type="dxa" w:w="50"/>
              <w:left w:type="dxa" w:w="120"/>
              <w:bottom w:type="dxa" w:w="50"/>
              <w:right w:type="dxa" w:w="120"/>
            </w:tcMar>
            <w:vAlign w:val="center"/>
          </w:tcPr>
          <w:p>
            <w:pPr>
              <w:spacing w:after="40" w:before="0" w:line="276"/>
              <w:jc w:val="left"/>
            </w:pPr>
            <w:r>
              <w:rPr>
                <w:rFonts w:ascii="Calibri" w:cs="Calibri" w:eastAsia="Calibri" w:hAnsi="Calibri"/>
                <w:b/>
                <w:bCs/>
                <w:color w:val="1F2A2E"/>
                <w:sz w:val="20"/>
                <w:szCs w:val="20"/>
              </w:rPr>
              <w:t xml:space="preserve">Lernziele</w:t>
            </w:r>
          </w:p>
        </w:tc>
        <w:tc>
          <w:tcPr>
            <w:tcW w:type="dxa" w:w="8051"/>
            <w:tcMar>
              <w:top w:type="dxa" w:w="50"/>
              <w:left w:type="dxa" w:w="120"/>
              <w:bottom w:type="dxa" w:w="50"/>
              <w:right w:type="dxa" w:w="120"/>
            </w:tcMar>
            <w:vAlign w:val="center"/>
          </w:tcPr>
          <w:p>
            <w:pPr>
              <w:spacing w:after="40" w:before="0" w:line="276"/>
              <w:jc w:val="left"/>
            </w:pPr>
            <w:r>
              <w:rPr>
                <w:rFonts w:ascii="Calibri" w:cs="Calibri" w:eastAsia="Calibri" w:hAnsi="Calibri"/>
                <w:b w:val="false"/>
                <w:bCs w:val="false"/>
                <w:color w:val="1F2A2E"/>
                <w:sz w:val="20"/>
                <w:szCs w:val="20"/>
              </w:rPr>
              <w:t xml:space="preserve">Die SuS unterscheiden Syntax und Semantik, vergleichen formale und natürliche Sprachen, benennen die Bestandteile einer Grammatik (N, T, Startsymbol, Produktionsregeln), zeigen durch Ableitungen und Ableitungsbäume, dass Wörter erzeugt werden, und beschreiben die von einer Grammatik erzeugte Sprache.</w:t>
            </w:r>
          </w:p>
        </w:tc>
      </w:tr>
      <w:tr>
        <w:trPr>
          <w:cantSplit/>
          <w:tblHeader w:val="false"/>
        </w:trPr>
        <w:tc>
          <w:tcPr>
            <w:tcW w:type="dxa" w:w="1814"/>
            <w:shd w:fill="F1F7F6" w:color="auto" w:val="clear"/>
            <w:tcMar>
              <w:top w:type="dxa" w:w="50"/>
              <w:left w:type="dxa" w:w="120"/>
              <w:bottom w:type="dxa" w:w="50"/>
              <w:right w:type="dxa" w:w="120"/>
            </w:tcMar>
            <w:vAlign w:val="center"/>
          </w:tcPr>
          <w:p>
            <w:pPr>
              <w:spacing w:after="40" w:before="0" w:line="276"/>
              <w:jc w:val="left"/>
            </w:pPr>
            <w:r>
              <w:rPr>
                <w:rFonts w:ascii="Calibri" w:cs="Calibri" w:eastAsia="Calibri" w:hAnsi="Calibri"/>
                <w:b/>
                <w:bCs/>
                <w:color w:val="1F2A2E"/>
                <w:sz w:val="20"/>
                <w:szCs w:val="20"/>
              </w:rPr>
              <w:t xml:space="preserve">KC-Bezug</w:t>
            </w:r>
          </w:p>
        </w:tc>
        <w:tc>
          <w:tcPr>
            <w:tcW w:type="dxa" w:w="8051"/>
            <w:tcMar>
              <w:top w:type="dxa" w:w="50"/>
              <w:left w:type="dxa" w:w="120"/>
              <w:bottom w:type="dxa" w:w="50"/>
              <w:right w:type="dxa" w:w="120"/>
            </w:tcMar>
            <w:vAlign w:val="center"/>
          </w:tcPr>
          <w:p>
            <w:pPr>
              <w:spacing w:after="40" w:before="0" w:line="276"/>
              <w:jc w:val="left"/>
            </w:pPr>
            <w:r>
              <w:rPr>
                <w:rFonts w:ascii="Calibri" w:cs="Calibri" w:eastAsia="Calibri" w:hAnsi="Calibri"/>
                <w:b w:val="false"/>
                <w:bCs w:val="false"/>
                <w:color w:val="1F2A2E"/>
                <w:sz w:val="20"/>
                <w:szCs w:val="20"/>
              </w:rPr>
              <w:t xml:space="preserve">Formale Sprachen (eA): Eigenschaften formaler und natürlicher Sprachen nennen (F1); die von einer Grammatik erzeugte Sprache beschreiben (F2). PK1.1, PK2.2, PK3.1, IK3.1</w:t>
            </w:r>
          </w:p>
        </w:tc>
      </w:tr>
      <w:tr>
        <w:trPr>
          <w:cantSplit/>
          <w:tblHeader w:val="false"/>
        </w:trPr>
        <w:tc>
          <w:tcPr>
            <w:tcW w:type="dxa" w:w="1814"/>
            <w:shd w:fill="F1F7F6" w:color="auto" w:val="clear"/>
            <w:tcMar>
              <w:top w:type="dxa" w:w="50"/>
              <w:left w:type="dxa" w:w="120"/>
              <w:bottom w:type="dxa" w:w="50"/>
              <w:right w:type="dxa" w:w="120"/>
            </w:tcMar>
            <w:vAlign w:val="center"/>
          </w:tcPr>
          <w:p>
            <w:pPr>
              <w:spacing w:after="40" w:before="0" w:line="276"/>
              <w:jc w:val="left"/>
            </w:pPr>
            <w:r>
              <w:rPr>
                <w:rFonts w:ascii="Calibri" w:cs="Calibri" w:eastAsia="Calibri" w:hAnsi="Calibri"/>
                <w:b/>
                <w:bCs/>
                <w:color w:val="1F2A2E"/>
                <w:sz w:val="20"/>
                <w:szCs w:val="20"/>
              </w:rPr>
              <w:t xml:space="preserve">Abi-Bezug</w:t>
            </w:r>
          </w:p>
        </w:tc>
        <w:tc>
          <w:tcPr>
            <w:tcW w:type="dxa" w:w="8051"/>
            <w:tcMar>
              <w:top w:type="dxa" w:w="50"/>
              <w:left w:type="dxa" w:w="120"/>
              <w:bottom w:type="dxa" w:w="50"/>
              <w:right w:type="dxa" w:w="120"/>
            </w:tcMar>
            <w:vAlign w:val="center"/>
          </w:tcPr>
          <w:p>
            <w:pPr>
              <w:spacing w:after="40" w:before="0" w:line="276"/>
              <w:jc w:val="left"/>
            </w:pPr>
            <w:r>
              <w:rPr>
                <w:rFonts w:ascii="Calibri" w:cs="Calibri" w:eastAsia="Calibri" w:hAnsi="Calibri"/>
                <w:b w:val="false"/>
                <w:bCs w:val="false"/>
                <w:color w:val="1F2A2E"/>
                <w:sz w:val="20"/>
                <w:szCs w:val="20"/>
              </w:rPr>
              <w:t xml:space="preserve">Operatoren „zeigen“ (Ableitung), „nennen“, „verändern“, „vergleichen“, „untersuchen“, „beschreiben“. Notation nach Ergänzenden Hinweisen 2025 (N, T, Startsymbol, Produktionsregeln; Ableitung mit ⇒). </w:t>
            </w:r>
            <w:r>
              <w:rPr>
                <w:rFonts w:ascii="Calibri" w:cs="Calibri" w:eastAsia="Calibri" w:hAnsi="Calibri"/>
                <w:b/>
                <w:bCs/>
                <w:color w:val="1F2A2E"/>
                <w:sz w:val="20"/>
                <w:szCs w:val="20"/>
              </w:rPr>
              <w:t xml:space="preserve">Originale zur Vertiefung:</w:t>
            </w:r>
            <w:r>
              <w:rPr>
                <w:rFonts w:ascii="Calibri" w:cs="Calibri" w:eastAsia="Calibri" w:hAnsi="Calibri"/>
                <w:b w:val="false"/>
                <w:bCs w:val="false"/>
                <w:color w:val="1F2A2E"/>
                <w:sz w:val="20"/>
                <w:szCs w:val="20"/>
              </w:rPr>
              <w:t xml:space="preserve"> Abi 2023 eA Nachschreibtermin Aufgabe D, Teil a (Mini-Deutsch-Grammatik, Genus-Problem, Vergleich formal/natürlich – Vorlage für AB-Aufgaben 1–3); Abi 2021 eA Aufgabe D, Teil a („Erläutern Sie anhand der Grammatik, dass … kein Wort der Sprache ist“); Abi 2023 eA Aufgabe D, Teil a („Stellen Sie mithilfe der Produktionsregeln dar …“, „Beschreiben Sie die Struktur …“).</w:t>
            </w:r>
          </w:p>
        </w:tc>
      </w:tr>
      <w:tr>
        <w:trPr>
          <w:cantSplit/>
          <w:tblHeader w:val="false"/>
        </w:trPr>
        <w:tc>
          <w:tcPr>
            <w:tcW w:type="dxa" w:w="1814"/>
            <w:shd w:fill="F1F7F6" w:color="auto" w:val="clear"/>
            <w:tcMar>
              <w:top w:type="dxa" w:w="50"/>
              <w:left w:type="dxa" w:w="120"/>
              <w:bottom w:type="dxa" w:w="50"/>
              <w:right w:type="dxa" w:w="120"/>
            </w:tcMar>
            <w:vAlign w:val="center"/>
          </w:tcPr>
          <w:p>
            <w:pPr>
              <w:spacing w:after="40" w:before="0" w:line="276"/>
              <w:jc w:val="left"/>
            </w:pPr>
            <w:r>
              <w:rPr>
                <w:rFonts w:ascii="Calibri" w:cs="Calibri" w:eastAsia="Calibri" w:hAnsi="Calibri"/>
                <w:b/>
                <w:bCs/>
                <w:color w:val="1F2A2E"/>
                <w:sz w:val="20"/>
                <w:szCs w:val="20"/>
              </w:rPr>
              <w:t xml:space="preserve">Material</w:t>
            </w:r>
          </w:p>
        </w:tc>
        <w:tc>
          <w:tcPr>
            <w:tcW w:type="dxa" w:w="8051"/>
            <w:tcMar>
              <w:top w:type="dxa" w:w="50"/>
              <w:left w:type="dxa" w:w="120"/>
              <w:bottom w:type="dxa" w:w="50"/>
              <w:right w:type="dxa" w:w="120"/>
            </w:tcMar>
            <w:vAlign w:val="center"/>
          </w:tcPr>
          <w:p>
            <w:pPr>
              <w:spacing w:after="40" w:before="0" w:line="276"/>
              <w:jc w:val="left"/>
            </w:pPr>
            <w:r>
              <w:rPr>
                <w:rFonts w:ascii="Calibri" w:cs="Calibri" w:eastAsia="Calibri" w:hAnsi="Calibri"/>
                <w:b w:val="false"/>
                <w:bCs w:val="false"/>
                <w:color w:val="1F2A2E"/>
                <w:sz w:val="20"/>
                <w:szCs w:val="20"/>
              </w:rPr>
              <w:t xml:space="preserve">Folien DS11, AB11, Merkblatt M08, Satz-Generator-Umschläge (Kopiervorlage unten), AutomatenLab „Ableitungs-Rallye“ (#/rallye, Aufgaben 1, 3, 4), Exit-Ticket #/quiz?ds=11</w:t>
            </w:r>
          </w:p>
        </w:tc>
      </w:tr>
      <w:tr>
        <w:trPr>
          <w:cantSplit/>
          <w:tblHeader w:val="false"/>
        </w:trPr>
        <w:tc>
          <w:tcPr>
            <w:tcW w:type="dxa" w:w="1814"/>
            <w:shd w:fill="F1F7F6" w:color="auto" w:val="clear"/>
            <w:tcMar>
              <w:top w:type="dxa" w:w="50"/>
              <w:left w:type="dxa" w:w="120"/>
              <w:bottom w:type="dxa" w:w="50"/>
              <w:right w:type="dxa" w:w="120"/>
            </w:tcMar>
            <w:vAlign w:val="center"/>
          </w:tcPr>
          <w:p>
            <w:pPr>
              <w:spacing w:after="40" w:before="0" w:line="276"/>
              <w:jc w:val="left"/>
            </w:pPr>
            <w:r>
              <w:rPr>
                <w:rFonts w:ascii="Calibri" w:cs="Calibri" w:eastAsia="Calibri" w:hAnsi="Calibri"/>
                <w:b/>
                <w:bCs/>
                <w:color w:val="1F2A2E"/>
                <w:sz w:val="20"/>
                <w:szCs w:val="20"/>
              </w:rPr>
              <w:t xml:space="preserve">Vorbereitung</w:t>
            </w:r>
          </w:p>
        </w:tc>
        <w:tc>
          <w:tcPr>
            <w:tcW w:type="dxa" w:w="8051"/>
            <w:tcMar>
              <w:top w:type="dxa" w:w="50"/>
              <w:left w:type="dxa" w:w="120"/>
              <w:bottom w:type="dxa" w:w="50"/>
              <w:right w:type="dxa" w:w="120"/>
            </w:tcMar>
            <w:vAlign w:val="center"/>
          </w:tcPr>
          <w:p>
            <w:pPr>
              <w:spacing w:after="40" w:before="0" w:line="276"/>
              <w:jc w:val="left"/>
            </w:pPr>
            <w:r>
              <w:rPr>
                <w:rFonts w:ascii="Calibri" w:cs="Calibri" w:eastAsia="Calibri" w:hAnsi="Calibri"/>
                <w:b w:val="false"/>
                <w:bCs w:val="false"/>
                <w:color w:val="1F2A2E"/>
                <w:sz w:val="20"/>
                <w:szCs w:val="20"/>
              </w:rPr>
              <w:t xml:space="preserve">Wortkarten für 6–8 Gruppen kopieren (am besten vier Papierfarben, eine je Umschlag), schneiden, in Umschläge stecken. Tafel: Strichliste „Syntax ja/nein × Semantik ja/nein“ vorbereiten.</w:t>
            </w:r>
          </w:p>
        </w:tc>
      </w:tr>
    </w:tbl>
    <w:p>
      <w:pPr>
        <w:spacing w:after="140" w:before="0"/>
      </w:pPr>
    </w:p>
    <w:p>
      <w:pPr>
        <w:keepNext/>
        <w:spacing w:after="100" w:before="260"/>
      </w:pPr>
      <w:r>
        <w:rPr>
          <w:rFonts w:ascii="Cambria" w:cs="Cambria" w:eastAsia="Cambria" w:hAnsi="Cambria"/>
          <w:b/>
          <w:bCs/>
          <w:color w:val="0E6455"/>
          <w:sz w:val="27"/>
          <w:szCs w:val="27"/>
        </w:rPr>
        <w:t xml:space="preserve">Verlaufsplan (90 Minuten)</w:t>
      </w:r>
    </w:p>
    <w:tbl>
      <w:tblPr>
        <w:tblW w:type="dxa" w:w="9865"/>
        <w:tblBorders>
          <w:top w:val="single" w:color="C9D3D6" w:sz="4"/>
          <w:left w:val="single" w:color="C9D3D6" w:sz="4"/>
          <w:bottom w:val="single" w:color="C9D3D6" w:sz="4"/>
          <w:right w:val="single" w:color="C9D3D6" w:sz="4"/>
          <w:insideH w:val="single" w:color="C9D3D6" w:sz="4"/>
          <w:insideV w:val="single" w:color="C9D3D6" w:sz="4"/>
        </w:tblBorders>
        <w:tblLayout w:type="fixed"/>
      </w:tblPr>
      <w:tblGrid>
        <w:gridCol w:w="907"/>
        <w:gridCol w:w="1361"/>
        <w:gridCol w:w="5783"/>
        <w:gridCol w:w="1814"/>
      </w:tblGrid>
      <w:tr>
        <w:trPr>
          <w:cantSplit/>
          <w:tblHeader/>
        </w:trPr>
        <w:tc>
          <w:tcPr>
            <w:tcW w:type="dxa" w:w="907"/>
            <w:shd w:fill="0E6455" w:color="auto" w:val="clear"/>
            <w:tcMar>
              <w:top w:type="dxa" w:w="50"/>
              <w:left w:type="dxa" w:w="120"/>
              <w:bottom w:type="dxa" w:w="50"/>
              <w:right w:type="dxa" w:w="120"/>
            </w:tcMar>
            <w:vAlign w:val="center"/>
          </w:tcPr>
          <w:p>
            <w:pPr>
              <w:spacing w:after="40" w:before="0" w:line="276"/>
              <w:jc w:val="left"/>
            </w:pPr>
            <w:r>
              <w:rPr>
                <w:rFonts w:ascii="Calibri" w:cs="Calibri" w:eastAsia="Calibri" w:hAnsi="Calibri"/>
                <w:b/>
                <w:bCs/>
                <w:color w:val="FFFFFF"/>
                <w:sz w:val="19"/>
                <w:szCs w:val="19"/>
              </w:rPr>
              <w:t xml:space="preserve">Zeit</w:t>
            </w:r>
          </w:p>
        </w:tc>
        <w:tc>
          <w:tcPr>
            <w:tcW w:type="dxa" w:w="1361"/>
            <w:shd w:fill="0E6455" w:color="auto" w:val="clear"/>
            <w:tcMar>
              <w:top w:type="dxa" w:w="50"/>
              <w:left w:type="dxa" w:w="120"/>
              <w:bottom w:type="dxa" w:w="50"/>
              <w:right w:type="dxa" w:w="120"/>
            </w:tcMar>
            <w:vAlign w:val="center"/>
          </w:tcPr>
          <w:p>
            <w:pPr>
              <w:spacing w:after="40" w:before="0" w:line="276"/>
              <w:jc w:val="left"/>
            </w:pPr>
            <w:r>
              <w:rPr>
                <w:rFonts w:ascii="Calibri" w:cs="Calibri" w:eastAsia="Calibri" w:hAnsi="Calibri"/>
                <w:b/>
                <w:bCs/>
                <w:color w:val="FFFFFF"/>
                <w:sz w:val="19"/>
                <w:szCs w:val="19"/>
              </w:rPr>
              <w:t xml:space="preserve">Phase</w:t>
            </w:r>
          </w:p>
        </w:tc>
        <w:tc>
          <w:tcPr>
            <w:tcW w:type="dxa" w:w="5783"/>
            <w:shd w:fill="0E6455" w:color="auto" w:val="clear"/>
            <w:tcMar>
              <w:top w:type="dxa" w:w="50"/>
              <w:left w:type="dxa" w:w="120"/>
              <w:bottom w:type="dxa" w:w="50"/>
              <w:right w:type="dxa" w:w="120"/>
            </w:tcMar>
            <w:vAlign w:val="center"/>
          </w:tcPr>
          <w:p>
            <w:pPr>
              <w:spacing w:after="40" w:before="0" w:line="276"/>
              <w:jc w:val="left"/>
            </w:pPr>
            <w:r>
              <w:rPr>
                <w:rFonts w:ascii="Calibri" w:cs="Calibri" w:eastAsia="Calibri" w:hAnsi="Calibri"/>
                <w:b/>
                <w:bCs/>
                <w:color w:val="FFFFFF"/>
                <w:sz w:val="19"/>
                <w:szCs w:val="19"/>
              </w:rPr>
              <w:t xml:space="preserve">Unterrichtsgeschehen</w:t>
            </w:r>
          </w:p>
        </w:tc>
        <w:tc>
          <w:tcPr>
            <w:tcW w:type="dxa" w:w="1814"/>
            <w:shd w:fill="0E6455" w:color="auto" w:val="clear"/>
            <w:tcMar>
              <w:top w:type="dxa" w:w="50"/>
              <w:left w:type="dxa" w:w="120"/>
              <w:bottom w:type="dxa" w:w="50"/>
              <w:right w:type="dxa" w:w="120"/>
            </w:tcMar>
            <w:vAlign w:val="center"/>
          </w:tcPr>
          <w:p>
            <w:pPr>
              <w:spacing w:after="40" w:before="0" w:line="276"/>
              <w:jc w:val="left"/>
            </w:pPr>
            <w:r>
              <w:rPr>
                <w:rFonts w:ascii="Calibri" w:cs="Calibri" w:eastAsia="Calibri" w:hAnsi="Calibri"/>
                <w:b/>
                <w:bCs/>
                <w:color w:val="FFFFFF"/>
                <w:sz w:val="19"/>
                <w:szCs w:val="19"/>
              </w:rPr>
              <w:t xml:space="preserve">Sozialform / Medien</w:t>
            </w:r>
          </w:p>
        </w:tc>
      </w:tr>
      <w:tr>
        <w:trPr>
          <w:cantSplit/>
          <w:tblHeader w:val="false"/>
        </w:trPr>
        <w:tc>
          <w:tcPr>
            <w:tcW w:type="dxa" w:w="907"/>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0–5</w:t>
            </w:r>
          </w:p>
        </w:tc>
        <w:tc>
          <w:tcPr>
            <w:tcW w:type="dxa" w:w="1361"/>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Einstieg</w:t>
            </w:r>
          </w:p>
        </w:tc>
        <w:tc>
          <w:tcPr>
            <w:tcW w:type="dxa" w:w="5783"/>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Start in Welt C: Überblick über die Level 11–13 (Pflicht), Level 14 (Vertiefung) und das Boss-Level C (Extra-Training). Perspektivwechsel: Automaten </w:t>
            </w:r>
            <w:r>
              <w:rPr>
                <w:rFonts w:ascii="Calibri" w:cs="Calibri" w:eastAsia="Calibri" w:hAnsi="Calibri"/>
                <w:b/>
                <w:bCs/>
                <w:color w:val="1F2A2E"/>
                <w:sz w:val="19"/>
                <w:szCs w:val="19"/>
              </w:rPr>
              <w:t xml:space="preserve">prüfen</w:t>
            </w:r>
            <w:r>
              <w:rPr>
                <w:rFonts w:ascii="Calibri" w:cs="Calibri" w:eastAsia="Calibri" w:hAnsi="Calibri"/>
                <w:color w:val="1F2A2E"/>
                <w:sz w:val="19"/>
                <w:szCs w:val="19"/>
              </w:rPr>
              <w:t xml:space="preserve"> Wörter, Grammatiken </w:t>
            </w:r>
            <w:r>
              <w:rPr>
                <w:rFonts w:ascii="Calibri" w:cs="Calibri" w:eastAsia="Calibri" w:hAnsi="Calibri"/>
                <w:b/>
                <w:bCs/>
                <w:color w:val="1F2A2E"/>
                <w:sz w:val="19"/>
                <w:szCs w:val="19"/>
              </w:rPr>
              <w:t xml:space="preserve">erzeugen</w:t>
            </w:r>
            <w:r>
              <w:rPr>
                <w:rFonts w:ascii="Calibri" w:cs="Calibri" w:eastAsia="Calibri" w:hAnsi="Calibri"/>
                <w:color w:val="1F2A2E"/>
                <w:sz w:val="19"/>
                <w:szCs w:val="19"/>
              </w:rPr>
              <w:t xml:space="preserve"> sie.</w:t>
            </w:r>
          </w:p>
        </w:tc>
        <w:tc>
          <w:tcPr>
            <w:tcW w:type="dxa" w:w="1814"/>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LV, Folien</w:t>
            </w:r>
          </w:p>
        </w:tc>
      </w:tr>
      <w:tr>
        <w:trPr>
          <w:cantSplit/>
          <w:tblHeader w:val="false"/>
        </w:trPr>
        <w:tc>
          <w:tcPr>
            <w:tcW w:type="dxa" w:w="907"/>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5–20</w:t>
            </w:r>
          </w:p>
        </w:tc>
        <w:tc>
          <w:tcPr>
            <w:tcW w:type="dxa" w:w="1361"/>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Einstieg</w:t>
            </w:r>
          </w:p>
        </w:tc>
        <w:tc>
          <w:tcPr>
            <w:tcW w:type="dxa" w:w="5783"/>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Spiel „Satz-Generator“: Jede Gruppe zieht aus jedem Umschlag eine Karte, legt den Satz und liest ihn vor. Die Klasse entscheidet per Handzeichen: grammatisch korrekt? sinnvoll? Strichliste an der Tafel. 3–4 Runden.</w:t>
            </w:r>
          </w:p>
        </w:tc>
        <w:tc>
          <w:tcPr>
            <w:tcW w:type="dxa" w:w="1814"/>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GA (4er), Umschläge, Tafel</w:t>
            </w:r>
          </w:p>
        </w:tc>
      </w:tr>
      <w:tr>
        <w:trPr>
          <w:cantSplit/>
          <w:tblHeader w:val="false"/>
        </w:trPr>
        <w:tc>
          <w:tcPr>
            <w:tcW w:type="dxa" w:w="907"/>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20–30</w:t>
            </w:r>
          </w:p>
        </w:tc>
        <w:tc>
          <w:tcPr>
            <w:tcW w:type="dxa" w:w="1361"/>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Einstieg</w:t>
            </w:r>
          </w:p>
        </w:tc>
        <w:tc>
          <w:tcPr>
            <w:tcW w:type="dxa" w:w="5783"/>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Auswertung: Vier Felder der Strichliste → Begriffe </w:t>
            </w:r>
            <w:r>
              <w:rPr>
                <w:rFonts w:ascii="Calibri" w:cs="Calibri" w:eastAsia="Calibri" w:hAnsi="Calibri"/>
                <w:b/>
                <w:bCs/>
                <w:color w:val="1F2A2E"/>
                <w:sz w:val="19"/>
                <w:szCs w:val="19"/>
              </w:rPr>
              <w:t xml:space="preserve">Syntax</w:t>
            </w:r>
            <w:r>
              <w:rPr>
                <w:rFonts w:ascii="Calibri" w:cs="Calibri" w:eastAsia="Calibri" w:hAnsi="Calibri"/>
                <w:color w:val="1F2A2E"/>
                <w:sz w:val="19"/>
                <w:szCs w:val="19"/>
              </w:rPr>
              <w:t xml:space="preserve"> (Form) und </w:t>
            </w:r>
            <w:r>
              <w:rPr>
                <w:rFonts w:ascii="Calibri" w:cs="Calibri" w:eastAsia="Calibri" w:hAnsi="Calibri"/>
                <w:b/>
                <w:bCs/>
                <w:color w:val="1F2A2E"/>
                <w:sz w:val="19"/>
                <w:szCs w:val="19"/>
              </w:rPr>
              <w:t xml:space="preserve">Semantik</w:t>
            </w:r>
            <w:r>
              <w:rPr>
                <w:rFonts w:ascii="Calibri" w:cs="Calibri" w:eastAsia="Calibri" w:hAnsi="Calibri"/>
                <w:color w:val="1F2A2E"/>
                <w:sz w:val="19"/>
                <w:szCs w:val="19"/>
              </w:rPr>
              <w:t xml:space="preserve"> (Bedeutung). AB-Aufgabe 1a gemeinsam. Frage: „Nach welchen Regeln habt ihr die Karten gelegt?“ → Satzbauplan Artikel – Nomen – Verb – Objekt – Punkt.</w:t>
            </w:r>
          </w:p>
        </w:tc>
        <w:tc>
          <w:tcPr>
            <w:tcW w:type="dxa" w:w="1814"/>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UG, Folien, AB11</w:t>
            </w:r>
          </w:p>
        </w:tc>
      </w:tr>
      <w:tr>
        <w:trPr>
          <w:cantSplit/>
          <w:tblHeader w:val="false"/>
        </w:trPr>
        <w:tc>
          <w:tcPr>
            <w:tcW w:type="dxa" w:w="907"/>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30–50</w:t>
            </w:r>
          </w:p>
        </w:tc>
        <w:tc>
          <w:tcPr>
            <w:tcW w:type="dxa" w:w="1361"/>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Erarbeitung</w:t>
            </w:r>
          </w:p>
        </w:tc>
        <w:tc>
          <w:tcPr>
            <w:tcW w:type="dxa" w:w="5783"/>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Vom Satzbauplan zur Grammatik G1: N, T, Startsymbol, Produktionsregeln. Ableitung von „Das Schaf frisst Möhren.“ Schritt für Schritt (Tabelle mit angewandter Regel), Ableitungsbaum. Glal-Sprache als formales Beispiel; Begriffe Alphabet, Wort, Sprache L(G).</w:t>
            </w:r>
          </w:p>
        </w:tc>
        <w:tc>
          <w:tcPr>
            <w:tcW w:type="dxa" w:w="1814"/>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LV/UG, Folien, M08</w:t>
            </w:r>
          </w:p>
        </w:tc>
      </w:tr>
      <w:tr>
        <w:trPr>
          <w:cantSplit/>
          <w:tblHeader w:val="false"/>
        </w:trPr>
        <w:tc>
          <w:tcPr>
            <w:tcW w:type="dxa" w:w="907"/>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50–80</w:t>
            </w:r>
          </w:p>
        </w:tc>
        <w:tc>
          <w:tcPr>
            <w:tcW w:type="dxa" w:w="1361"/>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Übung</w:t>
            </w:r>
          </w:p>
        </w:tc>
        <w:tc>
          <w:tcPr>
            <w:tcW w:type="dxa" w:w="5783"/>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AB11 Aufgaben 2–5 (gestuft). Schnelle SuS: Ableitungs-Rallye Aufgaben 1, 3, 4. Zwischensicherung nach ca. 15 min: Aufgabe 2d/3b (Genus-Problem) im Plenum – verschiedene Reparaturen vergleichen.</w:t>
            </w:r>
          </w:p>
        </w:tc>
        <w:tc>
          <w:tcPr>
            <w:tcW w:type="dxa" w:w="1814"/>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EA/PA, AB11, iPads</w:t>
            </w:r>
          </w:p>
        </w:tc>
      </w:tr>
      <w:tr>
        <w:trPr>
          <w:cantSplit/>
          <w:tblHeader w:val="false"/>
        </w:trPr>
        <w:tc>
          <w:tcPr>
            <w:tcW w:type="dxa" w:w="907"/>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80–90</w:t>
            </w:r>
          </w:p>
        </w:tc>
        <w:tc>
          <w:tcPr>
            <w:tcW w:type="dxa" w:w="1361"/>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Sicherung</w:t>
            </w:r>
          </w:p>
        </w:tc>
        <w:tc>
          <w:tcPr>
            <w:tcW w:type="dxa" w:w="5783"/>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Vergleich formale/natürliche Sprache (AB 1c) im Plenum, Merkblatt M08, Exit-Ticket #/quiz?ds=11. Hausaufgabe erteilen.</w:t>
            </w:r>
          </w:p>
        </w:tc>
        <w:tc>
          <w:tcPr>
            <w:tcW w:type="dxa" w:w="1814"/>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UG, M08, iPads</w:t>
            </w:r>
          </w:p>
        </w:tc>
      </w:tr>
    </w:tbl>
    <w:p>
      <w:pPr>
        <w:spacing w:after="140" w:before="0"/>
      </w:pPr>
    </w:p>
    <w:p>
      <w:pPr>
        <w:keepNext/>
        <w:spacing w:after="100" w:before="260"/>
      </w:pPr>
      <w:r>
        <w:rPr>
          <w:rFonts w:ascii="Cambria" w:cs="Cambria" w:eastAsia="Cambria" w:hAnsi="Cambria"/>
          <w:b/>
          <w:bCs/>
          <w:color w:val="0E6455"/>
          <w:sz w:val="27"/>
          <w:szCs w:val="27"/>
        </w:rPr>
        <w:t xml:space="preserve">Spiel „Satz-Generator“</w:t>
      </w:r>
    </w:p>
    <w:p>
      <w:pPr>
        <w:spacing w:after="100" w:before="0" w:line="276"/>
        <w:jc w:val="left"/>
      </w:pPr>
      <w:r>
        <w:rPr>
          <w:rFonts w:ascii="Calibri" w:cs="Calibri" w:eastAsia="Calibri" w:hAnsi="Calibri"/>
          <w:color w:val="1F2A2E"/>
          <w:sz w:val="22"/>
          <w:szCs w:val="22"/>
        </w:rPr>
        <w:t xml:space="preserve">Gruppen à 4 SuS erhalten vier Umschläge. Reihum zieht jede Person blind eine Karte aus „ihrem“ Umschlag; die Karten werden in der Reihenfolge Artikel – Nomen – Verb – Objekt nebeneinandergelegt, der Punkt kommt ans Ende. Die Gruppe liest den Satz laut vor, die Klasse stimmt ab (zwei Daumen: links = grammatisch korrekt, rechts = sinnvoll). Die Lehrkraft führt die Strichliste.</w:t>
      </w:r>
    </w:p>
    <w:p>
      <w:pPr>
        <w:pStyle w:val="ListParagraph"/>
        <w:numPr>
          <w:ilvl w:val="0"/>
          <w:numId w:val="2"/>
        </w:numPr>
        <w:spacing w:after="60" w:line="264"/>
      </w:pPr>
      <w:r>
        <w:rPr>
          <w:rFonts w:ascii="Calibri" w:cs="Calibri" w:eastAsia="Calibri" w:hAnsi="Calibri"/>
          <w:color w:val="1F2A2E"/>
          <w:sz w:val="22"/>
          <w:szCs w:val="22"/>
        </w:rPr>
        <w:t xml:space="preserve">Erwartbar sind viele Genus-Fehler („Der Ziege …“) – zwei Drittel aller Kombinationen –, aber auch grammatisch korrekte Unsinnssätze („Die Ziege liest Zeitung.“). Damit sind beide Achsen der Strichliste besetzt.</w:t>
      </w:r>
    </w:p>
    <w:p>
      <w:pPr>
        <w:pStyle w:val="ListParagraph"/>
        <w:numPr>
          <w:ilvl w:val="0"/>
          <w:numId w:val="2"/>
        </w:numPr>
        <w:spacing w:after="60" w:line="264"/>
      </w:pPr>
      <w:r>
        <w:rPr>
          <w:rFonts w:ascii="Calibri" w:cs="Calibri" w:eastAsia="Calibri" w:hAnsi="Calibri"/>
          <w:color w:val="1F2A2E"/>
          <w:sz w:val="22"/>
          <w:szCs w:val="22"/>
        </w:rPr>
        <w:t xml:space="preserve">Impuls nach Runde 2: „Kann ein Satz grammatisch korrekt, aber unsinnig sein? Und umgekehrt?“ → „Der Katze trinkt.“ ist verständlich, aber falsch.</w:t>
      </w:r>
    </w:p>
    <w:p>
      <w:pPr>
        <w:pStyle w:val="ListParagraph"/>
        <w:numPr>
          <w:ilvl w:val="0"/>
          <w:numId w:val="2"/>
        </w:numPr>
        <w:spacing w:after="60" w:line="264"/>
      </w:pPr>
      <w:r>
        <w:rPr>
          <w:rFonts w:ascii="Calibri" w:cs="Calibri" w:eastAsia="Calibri" w:hAnsi="Calibri"/>
          <w:color w:val="1F2A2E"/>
          <w:sz w:val="22"/>
          <w:szCs w:val="22"/>
        </w:rPr>
        <w:t xml:space="preserve">Variante: Eine Gruppe darf die Karten umstellen. „Möhren frisst das Schaf.“ ist korrektes Deutsch – natürliche Sprachen sind flexibel, die Grammatik G1 kann diese Wortstellung aber nicht erzeugen.</w:t>
      </w:r>
    </w:p>
    <w:p>
      <w:pPr>
        <w:pStyle w:val="ListParagraph"/>
        <w:numPr>
          <w:ilvl w:val="0"/>
          <w:numId w:val="2"/>
        </w:numPr>
        <w:spacing w:after="60" w:line="264"/>
      </w:pPr>
      <w:r>
        <w:rPr>
          <w:rFonts w:ascii="Calibri" w:cs="Calibri" w:eastAsia="Calibri" w:hAnsi="Calibri"/>
          <w:color w:val="1F2A2E"/>
          <w:sz w:val="22"/>
          <w:szCs w:val="22"/>
        </w:rPr>
        <w:t xml:space="preserve">Überleitung: Die Kartenregel „erst Artikel, dann Nomen …“ ist bereits eine Grammatik. Wir schreiben sie formal auf.</w:t>
      </w:r>
    </w:p>
    <w:p>
      <w:r>
        <w:br w:type="page"/>
      </w:r>
    </w:p>
    <w:p>
      <w:pPr>
        <w:keepNext/>
        <w:spacing w:after="60" w:before="160"/>
      </w:pPr>
      <w:r>
        <w:rPr>
          <w:rFonts w:ascii="Calibri" w:cs="Calibri" w:eastAsia="Calibri" w:hAnsi="Calibri"/>
          <w:b/>
          <w:bCs/>
          <w:color w:val="B26A0F"/>
          <w:sz w:val="23"/>
          <w:szCs w:val="23"/>
        </w:rPr>
        <w:t xml:space="preserve">Kopiervorlage: Wortkarten (pro Gruppe ein Satz Umschläge)</w:t>
      </w:r>
    </w:p>
    <w:p>
      <w:pPr>
        <w:keepNext/>
        <w:spacing w:after="60" w:before="160"/>
      </w:pPr>
      <w:r>
        <w:rPr>
          <w:rFonts w:ascii="Calibri" w:cs="Calibri" w:eastAsia="Calibri" w:hAnsi="Calibri"/>
          <w:b/>
          <w:bCs/>
          <w:color w:val="B26A0F"/>
          <w:sz w:val="23"/>
          <w:szCs w:val="23"/>
        </w:rPr>
        <w:t xml:space="preserve">Umschlag 1: Artikel</w:t>
      </w:r>
    </w:p>
    <w:tbl>
      <w:tblPr>
        <w:tblW w:type="dxa" w:w="9864"/>
        <w:tblBorders>
          <w:top w:val="single" w:color="C9D3D6" w:sz="4"/>
          <w:left w:val="single" w:color="C9D3D6" w:sz="4"/>
          <w:bottom w:val="single" w:color="C9D3D6" w:sz="4"/>
          <w:right w:val="single" w:color="C9D3D6" w:sz="4"/>
          <w:insideH w:val="single" w:color="C9D3D6" w:sz="4"/>
          <w:insideV w:val="single" w:color="C9D3D6" w:sz="4"/>
        </w:tblBorders>
        <w:tblLayout w:type="fixed"/>
      </w:tblPr>
      <w:tblGrid>
        <w:gridCol w:w="2466"/>
        <w:gridCol w:w="2466"/>
        <w:gridCol w:w="2466"/>
        <w:gridCol w:w="2466"/>
      </w:tblGrid>
      <w:tr>
        <w:trPr>
          <w:cantSplit/>
          <w:tblHeader w:val="false"/>
          <w:trHeight w:val="907" w:hRule="atLeast"/>
        </w:trPr>
        <w:tc>
          <w:tcPr>
            <w:tcW w:type="dxa" w:w="2466"/>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32"/>
                <w:szCs w:val="32"/>
              </w:rPr>
              <w:t xml:space="preserve">Der</w:t>
            </w:r>
          </w:p>
        </w:tc>
        <w:tc>
          <w:tcPr>
            <w:tcW w:type="dxa" w:w="2466"/>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32"/>
                <w:szCs w:val="32"/>
              </w:rPr>
              <w:t xml:space="preserve">Die</w:t>
            </w:r>
          </w:p>
        </w:tc>
        <w:tc>
          <w:tcPr>
            <w:tcW w:type="dxa" w:w="2466"/>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32"/>
                <w:szCs w:val="32"/>
              </w:rPr>
              <w:t xml:space="preserve">Das</w:t>
            </w:r>
          </w:p>
        </w:tc>
        <w:tc>
          <w:tcPr>
            <w:tcW w:type="dxa" w:w="2466"/>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32"/>
                <w:szCs w:val="32"/>
              </w:rPr>
              <w:t xml:space="preserve">Der</w:t>
            </w:r>
          </w:p>
        </w:tc>
      </w:tr>
      <w:tr>
        <w:trPr>
          <w:cantSplit/>
          <w:tblHeader w:val="false"/>
          <w:trHeight w:val="907" w:hRule="atLeast"/>
        </w:trPr>
        <w:tc>
          <w:tcPr>
            <w:tcW w:type="dxa" w:w="2466"/>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32"/>
                <w:szCs w:val="32"/>
              </w:rPr>
              <w:t xml:space="preserve">Die</w:t>
            </w:r>
          </w:p>
        </w:tc>
        <w:tc>
          <w:tcPr>
            <w:tcW w:type="dxa" w:w="2466"/>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32"/>
                <w:szCs w:val="32"/>
              </w:rPr>
              <w:t xml:space="preserve">Das</w:t>
            </w:r>
          </w:p>
        </w:tc>
        <w:tc>
          <w:tcPr>
            <w:tcW w:type="dxa" w:w="2466"/>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32"/>
                <w:szCs w:val="32"/>
              </w:rPr>
              <w:t xml:space="preserve">Der</w:t>
            </w:r>
          </w:p>
        </w:tc>
        <w:tc>
          <w:tcPr>
            <w:tcW w:type="dxa" w:w="2466"/>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32"/>
                <w:szCs w:val="32"/>
              </w:rPr>
              <w:t xml:space="preserve">Die</w:t>
            </w:r>
          </w:p>
        </w:tc>
      </w:tr>
    </w:tbl>
    <w:p>
      <w:pPr>
        <w:spacing w:after="140" w:before="0"/>
      </w:pPr>
    </w:p>
    <w:p>
      <w:pPr>
        <w:keepNext/>
        <w:spacing w:after="60" w:before="160"/>
      </w:pPr>
      <w:r>
        <w:rPr>
          <w:rFonts w:ascii="Calibri" w:cs="Calibri" w:eastAsia="Calibri" w:hAnsi="Calibri"/>
          <w:b/>
          <w:bCs/>
          <w:color w:val="B26A0F"/>
          <w:sz w:val="23"/>
          <w:szCs w:val="23"/>
        </w:rPr>
        <w:t xml:space="preserve">Umschlag 2: Nomen</w:t>
      </w:r>
    </w:p>
    <w:tbl>
      <w:tblPr>
        <w:tblW w:type="dxa" w:w="9864"/>
        <w:tblBorders>
          <w:top w:val="single" w:color="C9D3D6" w:sz="4"/>
          <w:left w:val="single" w:color="C9D3D6" w:sz="4"/>
          <w:bottom w:val="single" w:color="C9D3D6" w:sz="4"/>
          <w:right w:val="single" w:color="C9D3D6" w:sz="4"/>
          <w:insideH w:val="single" w:color="C9D3D6" w:sz="4"/>
          <w:insideV w:val="single" w:color="C9D3D6" w:sz="4"/>
        </w:tblBorders>
        <w:tblLayout w:type="fixed"/>
      </w:tblPr>
      <w:tblGrid>
        <w:gridCol w:w="2466"/>
        <w:gridCol w:w="2466"/>
        <w:gridCol w:w="2466"/>
        <w:gridCol w:w="2466"/>
      </w:tblGrid>
      <w:tr>
        <w:trPr>
          <w:cantSplit/>
          <w:tblHeader w:val="false"/>
          <w:trHeight w:val="907" w:hRule="atLeast"/>
        </w:trPr>
        <w:tc>
          <w:tcPr>
            <w:tcW w:type="dxa" w:w="2466"/>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32"/>
                <w:szCs w:val="32"/>
              </w:rPr>
              <w:t xml:space="preserve">Hund</w:t>
            </w:r>
          </w:p>
        </w:tc>
        <w:tc>
          <w:tcPr>
            <w:tcW w:type="dxa" w:w="2466"/>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32"/>
                <w:szCs w:val="32"/>
              </w:rPr>
              <w:t xml:space="preserve">Igel</w:t>
            </w:r>
          </w:p>
        </w:tc>
        <w:tc>
          <w:tcPr>
            <w:tcW w:type="dxa" w:w="2466"/>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32"/>
                <w:szCs w:val="32"/>
              </w:rPr>
              <w:t xml:space="preserve">Katze</w:t>
            </w:r>
          </w:p>
        </w:tc>
        <w:tc>
          <w:tcPr>
            <w:tcW w:type="dxa" w:w="2466"/>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32"/>
                <w:szCs w:val="32"/>
              </w:rPr>
              <w:t xml:space="preserve">Ziege</w:t>
            </w:r>
          </w:p>
        </w:tc>
      </w:tr>
      <w:tr>
        <w:trPr>
          <w:cantSplit/>
          <w:tblHeader w:val="false"/>
          <w:trHeight w:val="907" w:hRule="atLeast"/>
        </w:trPr>
        <w:tc>
          <w:tcPr>
            <w:tcW w:type="dxa" w:w="2466"/>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32"/>
                <w:szCs w:val="32"/>
              </w:rPr>
              <w:t xml:space="preserve">Pferd</w:t>
            </w:r>
          </w:p>
        </w:tc>
        <w:tc>
          <w:tcPr>
            <w:tcW w:type="dxa" w:w="2466"/>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32"/>
                <w:szCs w:val="32"/>
              </w:rPr>
              <w:t xml:space="preserve">Schaf</w:t>
            </w:r>
          </w:p>
        </w:tc>
        <w:tc>
          <w:tcPr>
            <w:tcW w:type="dxa" w:w="2466"/>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32"/>
                <w:szCs w:val="32"/>
              </w:rPr>
              <w:t xml:space="preserve">Hund</w:t>
            </w:r>
          </w:p>
        </w:tc>
        <w:tc>
          <w:tcPr>
            <w:tcW w:type="dxa" w:w="2466"/>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32"/>
                <w:szCs w:val="32"/>
              </w:rPr>
              <w:t xml:space="preserve">Katze</w:t>
            </w:r>
          </w:p>
        </w:tc>
      </w:tr>
    </w:tbl>
    <w:p>
      <w:pPr>
        <w:spacing w:after="140" w:before="0"/>
      </w:pPr>
    </w:p>
    <w:p>
      <w:pPr>
        <w:keepNext/>
        <w:spacing w:after="60" w:before="160"/>
      </w:pPr>
      <w:r>
        <w:rPr>
          <w:rFonts w:ascii="Calibri" w:cs="Calibri" w:eastAsia="Calibri" w:hAnsi="Calibri"/>
          <w:b/>
          <w:bCs/>
          <w:color w:val="B26A0F"/>
          <w:sz w:val="23"/>
          <w:szCs w:val="23"/>
        </w:rPr>
        <w:t xml:space="preserve">Umschlag 3: Verb</w:t>
      </w:r>
    </w:p>
    <w:tbl>
      <w:tblPr>
        <w:tblW w:type="dxa" w:w="9864"/>
        <w:tblBorders>
          <w:top w:val="single" w:color="C9D3D6" w:sz="4"/>
          <w:left w:val="single" w:color="C9D3D6" w:sz="4"/>
          <w:bottom w:val="single" w:color="C9D3D6" w:sz="4"/>
          <w:right w:val="single" w:color="C9D3D6" w:sz="4"/>
          <w:insideH w:val="single" w:color="C9D3D6" w:sz="4"/>
          <w:insideV w:val="single" w:color="C9D3D6" w:sz="4"/>
        </w:tblBorders>
        <w:tblLayout w:type="fixed"/>
      </w:tblPr>
      <w:tblGrid>
        <w:gridCol w:w="2466"/>
        <w:gridCol w:w="2466"/>
        <w:gridCol w:w="2466"/>
        <w:gridCol w:w="2466"/>
      </w:tblGrid>
      <w:tr>
        <w:trPr>
          <w:cantSplit/>
          <w:tblHeader w:val="false"/>
          <w:trHeight w:val="907" w:hRule="atLeast"/>
        </w:trPr>
        <w:tc>
          <w:tcPr>
            <w:tcW w:type="dxa" w:w="2466"/>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32"/>
                <w:szCs w:val="32"/>
              </w:rPr>
              <w:t xml:space="preserve">frisst</w:t>
            </w:r>
          </w:p>
        </w:tc>
        <w:tc>
          <w:tcPr>
            <w:tcW w:type="dxa" w:w="2466"/>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32"/>
                <w:szCs w:val="32"/>
              </w:rPr>
              <w:t xml:space="preserve">knabbert</w:t>
            </w:r>
          </w:p>
        </w:tc>
        <w:tc>
          <w:tcPr>
            <w:tcW w:type="dxa" w:w="2466"/>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32"/>
                <w:szCs w:val="32"/>
              </w:rPr>
              <w:t xml:space="preserve">trinkt</w:t>
            </w:r>
          </w:p>
        </w:tc>
        <w:tc>
          <w:tcPr>
            <w:tcW w:type="dxa" w:w="2466"/>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32"/>
                <w:szCs w:val="32"/>
              </w:rPr>
              <w:t xml:space="preserve">liest</w:t>
            </w:r>
          </w:p>
        </w:tc>
      </w:tr>
    </w:tbl>
    <w:p>
      <w:pPr>
        <w:spacing w:after="140" w:before="0"/>
      </w:pPr>
    </w:p>
    <w:p>
      <w:pPr>
        <w:keepNext/>
        <w:spacing w:after="60" w:before="160"/>
      </w:pPr>
      <w:r>
        <w:rPr>
          <w:rFonts w:ascii="Calibri" w:cs="Calibri" w:eastAsia="Calibri" w:hAnsi="Calibri"/>
          <w:b/>
          <w:bCs/>
          <w:color w:val="B26A0F"/>
          <w:sz w:val="23"/>
          <w:szCs w:val="23"/>
        </w:rPr>
        <w:t xml:space="preserve">Umschlag 4: Objekt  (Karte „–“ = kein Objekt)</w:t>
      </w:r>
    </w:p>
    <w:tbl>
      <w:tblPr>
        <w:tblW w:type="dxa" w:w="9864"/>
        <w:tblBorders>
          <w:top w:val="single" w:color="C9D3D6" w:sz="4"/>
          <w:left w:val="single" w:color="C9D3D6" w:sz="4"/>
          <w:bottom w:val="single" w:color="C9D3D6" w:sz="4"/>
          <w:right w:val="single" w:color="C9D3D6" w:sz="4"/>
          <w:insideH w:val="single" w:color="C9D3D6" w:sz="4"/>
          <w:insideV w:val="single" w:color="C9D3D6" w:sz="4"/>
        </w:tblBorders>
        <w:tblLayout w:type="fixed"/>
      </w:tblPr>
      <w:tblGrid>
        <w:gridCol w:w="2466"/>
        <w:gridCol w:w="2466"/>
        <w:gridCol w:w="2466"/>
        <w:gridCol w:w="2466"/>
      </w:tblGrid>
      <w:tr>
        <w:trPr>
          <w:cantSplit/>
          <w:tblHeader w:val="false"/>
          <w:trHeight w:val="907" w:hRule="atLeast"/>
        </w:trPr>
        <w:tc>
          <w:tcPr>
            <w:tcW w:type="dxa" w:w="2466"/>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32"/>
                <w:szCs w:val="32"/>
              </w:rPr>
              <w:t xml:space="preserve">Wasser</w:t>
            </w:r>
          </w:p>
        </w:tc>
        <w:tc>
          <w:tcPr>
            <w:tcW w:type="dxa" w:w="2466"/>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32"/>
                <w:szCs w:val="32"/>
              </w:rPr>
              <w:t xml:space="preserve">Möhren</w:t>
            </w:r>
          </w:p>
        </w:tc>
        <w:tc>
          <w:tcPr>
            <w:tcW w:type="dxa" w:w="2466"/>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32"/>
                <w:szCs w:val="32"/>
              </w:rPr>
              <w:t xml:space="preserve">Äpfel</w:t>
            </w:r>
          </w:p>
        </w:tc>
        <w:tc>
          <w:tcPr>
            <w:tcW w:type="dxa" w:w="2466"/>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32"/>
                <w:szCs w:val="32"/>
              </w:rPr>
              <w:t xml:space="preserve">Zeitung</w:t>
            </w:r>
          </w:p>
        </w:tc>
      </w:tr>
      <w:tr>
        <w:trPr>
          <w:cantSplit/>
          <w:tblHeader w:val="false"/>
          <w:trHeight w:val="907" w:hRule="atLeast"/>
        </w:trPr>
        <w:tc>
          <w:tcPr>
            <w:tcW w:type="dxa" w:w="2466"/>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32"/>
                <w:szCs w:val="32"/>
              </w:rPr>
              <w:t xml:space="preserve">–</w:t>
            </w:r>
          </w:p>
        </w:tc>
        <w:tc>
          <w:tcPr>
            <w:tcW w:type="dxa" w:w="2466"/>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32"/>
                <w:szCs w:val="32"/>
              </w:rPr>
              <w:t xml:space="preserve">.</w:t>
            </w:r>
          </w:p>
        </w:tc>
        <w:tc>
          <w:tcPr>
            <w:tcW w:type="dxa" w:w="2466"/>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32"/>
                <w:szCs w:val="32"/>
              </w:rPr>
              <w:t xml:space="preserve">.</w:t>
            </w:r>
          </w:p>
        </w:tc>
        <w:tc>
          <w:tcPr>
            <w:tcW w:type="dxa" w:w="2466"/>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32"/>
                <w:szCs w:val="32"/>
              </w:rPr>
              <w:t xml:space="preserve">.</w:t>
            </w:r>
          </w:p>
        </w:tc>
      </w:tr>
    </w:tbl>
    <w:p>
      <w:pPr>
        <w:spacing w:after="140" w:before="0"/>
      </w:pPr>
    </w:p>
    <w:p>
      <w:pPr>
        <w:spacing w:after="100" w:before="0" w:line="276"/>
        <w:jc w:val="left"/>
      </w:pPr>
      <w:r>
        <w:rPr>
          <w:rFonts w:ascii="Calibri" w:cs="Calibri" w:eastAsia="Calibri" w:hAnsi="Calibri"/>
          <w:color w:val="5B6770"/>
          <w:sz w:val="18"/>
          <w:szCs w:val="18"/>
        </w:rPr>
        <w:t xml:space="preserve">Die Punkt-Karten („.“) aus Umschlag 4 vorher heraussortieren und jeder Gruppe einzeln geben. Tafel: Strichliste mit den Feldern „Syntax ja/nein“ × „Semantik ja/nein“.</w:t>
      </w:r>
    </w:p>
    <w:p>
      <w:r>
        <w:br w:type="page"/>
      </w:r>
    </w:p>
    <w:p>
      <w:pPr>
        <w:keepNext/>
        <w:spacing w:after="100" w:before="260"/>
      </w:pPr>
      <w:r>
        <w:rPr>
          <w:rFonts w:ascii="Cambria" w:cs="Cambria" w:eastAsia="Cambria" w:hAnsi="Cambria"/>
          <w:b/>
          <w:bCs/>
          <w:color w:val="0E6455"/>
          <w:sz w:val="27"/>
          <w:szCs w:val="27"/>
        </w:rPr>
        <w:t xml:space="preserve">Lösungen AB11</w:t>
      </w:r>
    </w:p>
    <w:p>
      <w:pPr>
        <w:keepNext/>
        <w:spacing w:after="60" w:before="160"/>
      </w:pPr>
      <w:r>
        <w:rPr>
          <w:rFonts w:ascii="Calibri" w:cs="Calibri" w:eastAsia="Calibri" w:hAnsi="Calibri"/>
          <w:b/>
          <w:bCs/>
          <w:color w:val="B26A0F"/>
          <w:sz w:val="23"/>
          <w:szCs w:val="23"/>
        </w:rPr>
        <w:t xml:space="preserve">Aufgabe 1 – Formal oder natürlich?</w:t>
      </w:r>
    </w:p>
    <w:tbl>
      <w:tblPr>
        <w:tblW w:type="dxa" w:w="9866"/>
        <w:tblBorders>
          <w:top w:val="single" w:color="C9D3D6" w:sz="4"/>
          <w:left w:val="single" w:color="C9D3D6" w:sz="4"/>
          <w:bottom w:val="single" w:color="C9D3D6" w:sz="4"/>
          <w:right w:val="single" w:color="C9D3D6" w:sz="4"/>
          <w:insideH w:val="single" w:color="C9D3D6" w:sz="4"/>
          <w:insideV w:val="single" w:color="C9D3D6" w:sz="4"/>
        </w:tblBorders>
        <w:tblLayout w:type="fixed"/>
      </w:tblPr>
      <w:tblGrid>
        <w:gridCol w:w="3062"/>
        <w:gridCol w:w="1021"/>
        <w:gridCol w:w="1134"/>
        <w:gridCol w:w="4649"/>
      </w:tblGrid>
      <w:tr>
        <w:trPr>
          <w:cantSplit/>
          <w:tblHeader/>
        </w:trPr>
        <w:tc>
          <w:tcPr>
            <w:tcW w:type="dxa" w:w="3062"/>
            <w:shd w:fill="0E6455" w:color="auto" w:val="clear"/>
            <w:tcMar>
              <w:top w:type="dxa" w:w="50"/>
              <w:left w:type="dxa" w:w="120"/>
              <w:bottom w:type="dxa" w:w="50"/>
              <w:right w:type="dxa" w:w="120"/>
            </w:tcMar>
            <w:vAlign w:val="center"/>
          </w:tcPr>
          <w:p>
            <w:pPr>
              <w:spacing w:after="40" w:before="0" w:line="276"/>
              <w:jc w:val="left"/>
            </w:pPr>
            <w:r>
              <w:rPr>
                <w:rFonts w:ascii="Calibri" w:cs="Calibri" w:eastAsia="Calibri" w:hAnsi="Calibri"/>
                <w:b/>
                <w:bCs/>
                <w:color w:val="FFFFFF"/>
                <w:sz w:val="19"/>
                <w:szCs w:val="19"/>
              </w:rPr>
              <w:t xml:space="preserve">Satz</w:t>
            </w:r>
          </w:p>
        </w:tc>
        <w:tc>
          <w:tcPr>
            <w:tcW w:type="dxa" w:w="1021"/>
            <w:shd w:fill="0E6455" w:color="auto" w:val="clear"/>
            <w:tcMar>
              <w:top w:type="dxa" w:w="50"/>
              <w:left w:type="dxa" w:w="120"/>
              <w:bottom w:type="dxa" w:w="50"/>
              <w:right w:type="dxa" w:w="120"/>
            </w:tcMar>
            <w:vAlign w:val="center"/>
          </w:tcPr>
          <w:p>
            <w:pPr>
              <w:spacing w:after="40" w:before="0" w:line="276"/>
              <w:jc w:val="center"/>
            </w:pPr>
            <w:r>
              <w:rPr>
                <w:rFonts w:ascii="Calibri" w:cs="Calibri" w:eastAsia="Calibri" w:hAnsi="Calibri"/>
                <w:b/>
                <w:bCs/>
                <w:color w:val="FFFFFF"/>
                <w:sz w:val="19"/>
                <w:szCs w:val="19"/>
              </w:rPr>
              <w:t xml:space="preserve">Syntax</w:t>
            </w:r>
          </w:p>
        </w:tc>
        <w:tc>
          <w:tcPr>
            <w:tcW w:type="dxa" w:w="1134"/>
            <w:shd w:fill="0E6455" w:color="auto" w:val="clear"/>
            <w:tcMar>
              <w:top w:type="dxa" w:w="50"/>
              <w:left w:type="dxa" w:w="120"/>
              <w:bottom w:type="dxa" w:w="50"/>
              <w:right w:type="dxa" w:w="120"/>
            </w:tcMar>
            <w:vAlign w:val="center"/>
          </w:tcPr>
          <w:p>
            <w:pPr>
              <w:spacing w:after="40" w:before="0" w:line="276"/>
              <w:jc w:val="center"/>
            </w:pPr>
            <w:r>
              <w:rPr>
                <w:rFonts w:ascii="Calibri" w:cs="Calibri" w:eastAsia="Calibri" w:hAnsi="Calibri"/>
                <w:b/>
                <w:bCs/>
                <w:color w:val="FFFFFF"/>
                <w:sz w:val="19"/>
                <w:szCs w:val="19"/>
              </w:rPr>
              <w:t xml:space="preserve">Semantik</w:t>
            </w:r>
          </w:p>
        </w:tc>
        <w:tc>
          <w:tcPr>
            <w:tcW w:type="dxa" w:w="4649"/>
            <w:shd w:fill="0E6455" w:color="auto" w:val="clear"/>
            <w:tcMar>
              <w:top w:type="dxa" w:w="50"/>
              <w:left w:type="dxa" w:w="120"/>
              <w:bottom w:type="dxa" w:w="50"/>
              <w:right w:type="dxa" w:w="120"/>
            </w:tcMar>
            <w:vAlign w:val="center"/>
          </w:tcPr>
          <w:p>
            <w:pPr>
              <w:spacing w:after="40" w:before="0" w:line="276"/>
              <w:jc w:val="left"/>
            </w:pPr>
            <w:r>
              <w:rPr>
                <w:rFonts w:ascii="Calibri" w:cs="Calibri" w:eastAsia="Calibri" w:hAnsi="Calibri"/>
                <w:b/>
                <w:bCs/>
                <w:color w:val="FFFFFF"/>
                <w:sz w:val="19"/>
                <w:szCs w:val="19"/>
              </w:rPr>
              <w:t xml:space="preserve">Kommentar</w:t>
            </w:r>
          </w:p>
        </w:tc>
      </w:tr>
      <w:tr>
        <w:trPr>
          <w:cantSplit/>
          <w:tblHeader w:val="false"/>
        </w:trPr>
        <w:tc>
          <w:tcPr>
            <w:tcW w:type="dxa" w:w="3062"/>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„Das Pferd frisst Äpfel.“</w:t>
            </w:r>
          </w:p>
        </w:tc>
        <w:tc>
          <w:tcPr>
            <w:tcW w:type="dxa" w:w="1021"/>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9"/>
                <w:szCs w:val="19"/>
              </w:rPr>
              <w:t xml:space="preserve">ja</w:t>
            </w:r>
          </w:p>
        </w:tc>
        <w:tc>
          <w:tcPr>
            <w:tcW w:type="dxa" w:w="1134"/>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9"/>
                <w:szCs w:val="19"/>
              </w:rPr>
              <w:t xml:space="preserve">ja</w:t>
            </w:r>
          </w:p>
        </w:tc>
        <w:tc>
          <w:tcPr>
            <w:tcW w:type="dxa" w:w="4649"/>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korrekter, sinnvoller Satz</w:t>
            </w:r>
          </w:p>
        </w:tc>
      </w:tr>
      <w:tr>
        <w:trPr>
          <w:cantSplit/>
          <w:tblHeader w:val="false"/>
        </w:trPr>
        <w:tc>
          <w:tcPr>
            <w:tcW w:type="dxa" w:w="3062"/>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„Die Igel knabbert Möhren.“</w:t>
            </w:r>
          </w:p>
        </w:tc>
        <w:tc>
          <w:tcPr>
            <w:tcW w:type="dxa" w:w="1021"/>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9"/>
                <w:szCs w:val="19"/>
              </w:rPr>
              <w:t xml:space="preserve">nein</w:t>
            </w:r>
          </w:p>
        </w:tc>
        <w:tc>
          <w:tcPr>
            <w:tcW w:type="dxa" w:w="1134"/>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9"/>
                <w:szCs w:val="19"/>
              </w:rPr>
              <w:t xml:space="preserve">ja</w:t>
            </w:r>
          </w:p>
        </w:tc>
        <w:tc>
          <w:tcPr>
            <w:tcW w:type="dxa" w:w="4649"/>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Genus: </w:t>
            </w:r>
            <w:r>
              <w:rPr>
                <w:rFonts w:ascii="Calibri" w:cs="Calibri" w:eastAsia="Calibri" w:hAnsi="Calibri"/>
                <w:i/>
                <w:iCs/>
                <w:color w:val="1F2A2E"/>
                <w:sz w:val="19"/>
                <w:szCs w:val="19"/>
              </w:rPr>
              <w:t xml:space="preserve">der</w:t>
            </w:r>
            <w:r>
              <w:rPr>
                <w:rFonts w:ascii="Calibri" w:cs="Calibri" w:eastAsia="Calibri" w:hAnsi="Calibri"/>
                <w:color w:val="1F2A2E"/>
                <w:sz w:val="19"/>
                <w:szCs w:val="19"/>
              </w:rPr>
              <w:t xml:space="preserve"> Igel</w:t>
            </w:r>
          </w:p>
        </w:tc>
      </w:tr>
      <w:tr>
        <w:trPr>
          <w:cantSplit/>
          <w:tblHeader w:val="false"/>
        </w:trPr>
        <w:tc>
          <w:tcPr>
            <w:tcW w:type="dxa" w:w="3062"/>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„Die Ziege liest Zeitung.“</w:t>
            </w:r>
          </w:p>
        </w:tc>
        <w:tc>
          <w:tcPr>
            <w:tcW w:type="dxa" w:w="1021"/>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9"/>
                <w:szCs w:val="19"/>
              </w:rPr>
              <w:t xml:space="preserve">ja</w:t>
            </w:r>
          </w:p>
        </w:tc>
        <w:tc>
          <w:tcPr>
            <w:tcW w:type="dxa" w:w="1134"/>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9"/>
                <w:szCs w:val="19"/>
              </w:rPr>
              <w:t xml:space="preserve">nein</w:t>
            </w:r>
          </w:p>
        </w:tc>
        <w:tc>
          <w:tcPr>
            <w:tcW w:type="dxa" w:w="4649"/>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Form korrekt, Bedeutung absurd (außer im Märchen)</w:t>
            </w:r>
          </w:p>
        </w:tc>
      </w:tr>
      <w:tr>
        <w:trPr>
          <w:cantSplit/>
          <w:tblHeader w:val="false"/>
        </w:trPr>
        <w:tc>
          <w:tcPr>
            <w:tcW w:type="dxa" w:w="3062"/>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„Der Katze trinkt.“</w:t>
            </w:r>
          </w:p>
        </w:tc>
        <w:tc>
          <w:tcPr>
            <w:tcW w:type="dxa" w:w="1021"/>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9"/>
                <w:szCs w:val="19"/>
              </w:rPr>
              <w:t xml:space="preserve">nein</w:t>
            </w:r>
          </w:p>
        </w:tc>
        <w:tc>
          <w:tcPr>
            <w:tcW w:type="dxa" w:w="1134"/>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9"/>
                <w:szCs w:val="19"/>
              </w:rPr>
              <w:t xml:space="preserve">ja</w:t>
            </w:r>
          </w:p>
        </w:tc>
        <w:tc>
          <w:tcPr>
            <w:tcW w:type="dxa" w:w="4649"/>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Genus: </w:t>
            </w:r>
            <w:r>
              <w:rPr>
                <w:rFonts w:ascii="Calibri" w:cs="Calibri" w:eastAsia="Calibri" w:hAnsi="Calibri"/>
                <w:i/>
                <w:iCs/>
                <w:color w:val="1F2A2E"/>
                <w:sz w:val="19"/>
                <w:szCs w:val="19"/>
              </w:rPr>
              <w:t xml:space="preserve">die</w:t>
            </w:r>
            <w:r>
              <w:rPr>
                <w:rFonts w:ascii="Calibri" w:cs="Calibri" w:eastAsia="Calibri" w:hAnsi="Calibri"/>
                <w:color w:val="1F2A2E"/>
                <w:sz w:val="19"/>
                <w:szCs w:val="19"/>
              </w:rPr>
              <w:t xml:space="preserve"> Katze</w:t>
            </w:r>
          </w:p>
        </w:tc>
      </w:tr>
      <w:tr>
        <w:trPr>
          <w:cantSplit/>
          <w:tblHeader w:val="false"/>
        </w:trPr>
        <w:tc>
          <w:tcPr>
            <w:tcW w:type="dxa" w:w="3062"/>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„Das Schaf Möhren frisst.“</w:t>
            </w:r>
          </w:p>
        </w:tc>
        <w:tc>
          <w:tcPr>
            <w:tcW w:type="dxa" w:w="1021"/>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9"/>
                <w:szCs w:val="19"/>
              </w:rPr>
              <w:t xml:space="preserve">nein</w:t>
            </w:r>
          </w:p>
        </w:tc>
        <w:tc>
          <w:tcPr>
            <w:tcW w:type="dxa" w:w="1134"/>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9"/>
                <w:szCs w:val="19"/>
              </w:rPr>
              <w:t xml:space="preserve">ja</w:t>
            </w:r>
          </w:p>
        </w:tc>
        <w:tc>
          <w:tcPr>
            <w:tcW w:type="dxa" w:w="4649"/>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Wortstellung: Im Hauptsatz steht das Verb an zweiter Stelle.</w:t>
            </w:r>
          </w:p>
        </w:tc>
      </w:tr>
      <w:tr>
        <w:trPr>
          <w:cantSplit/>
          <w:tblHeader w:val="false"/>
        </w:trPr>
        <w:tc>
          <w:tcPr>
            <w:tcW w:type="dxa" w:w="3062"/>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„Möhren frisst das Schaf.“</w:t>
            </w:r>
          </w:p>
        </w:tc>
        <w:tc>
          <w:tcPr>
            <w:tcW w:type="dxa" w:w="1021"/>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9"/>
                <w:szCs w:val="19"/>
              </w:rPr>
              <w:t xml:space="preserve">ja</w:t>
            </w:r>
          </w:p>
        </w:tc>
        <w:tc>
          <w:tcPr>
            <w:tcW w:type="dxa" w:w="1134"/>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9"/>
                <w:szCs w:val="19"/>
              </w:rPr>
              <w:t xml:space="preserve">ja</w:t>
            </w:r>
          </w:p>
        </w:tc>
        <w:tc>
          <w:tcPr>
            <w:tcW w:type="dxa" w:w="4649"/>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korrekt (Objekt betont), aber mit G1 nicht ableitbar</w:t>
            </w:r>
          </w:p>
        </w:tc>
      </w:tr>
    </w:tbl>
    <w:p>
      <w:pPr>
        <w:spacing w:after="140" w:before="0"/>
      </w:pPr>
    </w:p>
    <w:p>
      <w:pPr>
        <w:pStyle w:val="ListParagraph"/>
        <w:numPr>
          <w:ilvl w:val="0"/>
          <w:numId w:val="2"/>
        </w:numPr>
        <w:spacing w:after="60" w:line="264"/>
      </w:pPr>
      <w:r>
        <w:rPr>
          <w:rFonts w:ascii="Calibri" w:cs="Calibri" w:eastAsia="Calibri" w:hAnsi="Calibri"/>
          <w:color w:val="1F2A2E"/>
          <w:sz w:val="22"/>
          <w:szCs w:val="22"/>
        </w:rPr>
        <w:t xml:space="preserve">b) </w:t>
      </w:r>
      <w:r>
        <w:rPr>
          <w:rFonts w:ascii="Calibri" w:cs="Calibri" w:eastAsia="Calibri" w:hAnsi="Calibri"/>
          <w:b/>
          <w:bCs/>
          <w:color w:val="1F2A2E"/>
          <w:sz w:val="22"/>
          <w:szCs w:val="22"/>
        </w:rPr>
        <w:t xml:space="preserve">Syntax</w:t>
      </w:r>
      <w:r>
        <w:rPr>
          <w:rFonts w:ascii="Calibri" w:cs="Calibri" w:eastAsia="Calibri" w:hAnsi="Calibri"/>
          <w:color w:val="1F2A2E"/>
          <w:sz w:val="22"/>
          <w:szCs w:val="22"/>
        </w:rPr>
        <w:t xml:space="preserve"> = Regeln für die Form (welche Zeichen/Wörter in welcher Reihenfolge stehen dürfen); </w:t>
      </w:r>
      <w:r>
        <w:rPr>
          <w:rFonts w:ascii="Calibri" w:cs="Calibri" w:eastAsia="Calibri" w:hAnsi="Calibri"/>
          <w:b/>
          <w:bCs/>
          <w:color w:val="1F2A2E"/>
          <w:sz w:val="22"/>
          <w:szCs w:val="22"/>
        </w:rPr>
        <w:t xml:space="preserve">Semantik</w:t>
      </w:r>
      <w:r>
        <w:rPr>
          <w:rFonts w:ascii="Calibri" w:cs="Calibri" w:eastAsia="Calibri" w:hAnsi="Calibri"/>
          <w:color w:val="1F2A2E"/>
          <w:sz w:val="22"/>
          <w:szCs w:val="22"/>
        </w:rPr>
        <w:t xml:space="preserve"> = Bedeutung. „Die Ziege liest Zeitung.“ ist syntaktisch korrekt, semantisch aber unsinnig.</w:t>
      </w:r>
    </w:p>
    <w:p>
      <w:pPr>
        <w:spacing w:after="60" w:before="0" w:line="276"/>
        <w:jc w:val="left"/>
      </w:pPr>
      <w:r>
        <w:rPr>
          <w:rFonts w:ascii="Calibri" w:cs="Calibri" w:eastAsia="Calibri" w:hAnsi="Calibri"/>
          <w:color w:val="1F2A2E"/>
          <w:sz w:val="22"/>
          <w:szCs w:val="22"/>
        </w:rPr>
        <w:t xml:space="preserve">c) Mögliche Aspekte (zwei genügen):</w:t>
      </w:r>
    </w:p>
    <w:tbl>
      <w:tblPr>
        <w:tblW w:type="dxa" w:w="9865"/>
        <w:tblBorders>
          <w:top w:val="single" w:color="C9D3D6" w:sz="4"/>
          <w:left w:val="single" w:color="C9D3D6" w:sz="4"/>
          <w:bottom w:val="single" w:color="C9D3D6" w:sz="4"/>
          <w:right w:val="single" w:color="C9D3D6" w:sz="4"/>
          <w:insideH w:val="single" w:color="C9D3D6" w:sz="4"/>
          <w:insideV w:val="single" w:color="C9D3D6" w:sz="4"/>
        </w:tblBorders>
        <w:tblLayout w:type="fixed"/>
      </w:tblPr>
      <w:tblGrid>
        <w:gridCol w:w="1701"/>
        <w:gridCol w:w="4082"/>
        <w:gridCol w:w="4082"/>
      </w:tblGrid>
      <w:tr>
        <w:trPr>
          <w:cantSplit/>
          <w:tblHeader/>
        </w:trPr>
        <w:tc>
          <w:tcPr>
            <w:tcW w:type="dxa" w:w="1701"/>
            <w:shd w:fill="0E6455" w:color="auto" w:val="clear"/>
            <w:tcMar>
              <w:top w:type="dxa" w:w="50"/>
              <w:left w:type="dxa" w:w="120"/>
              <w:bottom w:type="dxa" w:w="50"/>
              <w:right w:type="dxa" w:w="120"/>
            </w:tcMar>
            <w:vAlign w:val="center"/>
          </w:tcPr>
          <w:p>
            <w:pPr>
              <w:spacing w:after="40" w:before="0" w:line="276"/>
              <w:jc w:val="left"/>
            </w:pPr>
            <w:r>
              <w:rPr>
                <w:rFonts w:ascii="Calibri" w:cs="Calibri" w:eastAsia="Calibri" w:hAnsi="Calibri"/>
                <w:b/>
                <w:bCs/>
                <w:color w:val="FFFFFF"/>
                <w:sz w:val="19"/>
                <w:szCs w:val="19"/>
              </w:rPr>
              <w:t xml:space="preserve">Aspekt</w:t>
            </w:r>
          </w:p>
        </w:tc>
        <w:tc>
          <w:tcPr>
            <w:tcW w:type="dxa" w:w="4082"/>
            <w:shd w:fill="0E6455" w:color="auto" w:val="clear"/>
            <w:tcMar>
              <w:top w:type="dxa" w:w="50"/>
              <w:left w:type="dxa" w:w="120"/>
              <w:bottom w:type="dxa" w:w="50"/>
              <w:right w:type="dxa" w:w="120"/>
            </w:tcMar>
            <w:vAlign w:val="center"/>
          </w:tcPr>
          <w:p>
            <w:pPr>
              <w:spacing w:after="40" w:before="0" w:line="276"/>
              <w:jc w:val="left"/>
            </w:pPr>
            <w:r>
              <w:rPr>
                <w:rFonts w:ascii="Calibri" w:cs="Calibri" w:eastAsia="Calibri" w:hAnsi="Calibri"/>
                <w:b/>
                <w:bCs/>
                <w:color w:val="FFFFFF"/>
                <w:sz w:val="19"/>
                <w:szCs w:val="19"/>
              </w:rPr>
              <w:t xml:space="preserve">formale Sprache</w:t>
            </w:r>
          </w:p>
        </w:tc>
        <w:tc>
          <w:tcPr>
            <w:tcW w:type="dxa" w:w="4082"/>
            <w:shd w:fill="0E6455" w:color="auto" w:val="clear"/>
            <w:tcMar>
              <w:top w:type="dxa" w:w="50"/>
              <w:left w:type="dxa" w:w="120"/>
              <w:bottom w:type="dxa" w:w="50"/>
              <w:right w:type="dxa" w:w="120"/>
            </w:tcMar>
            <w:vAlign w:val="center"/>
          </w:tcPr>
          <w:p>
            <w:pPr>
              <w:spacing w:after="40" w:before="0" w:line="276"/>
              <w:jc w:val="left"/>
            </w:pPr>
            <w:r>
              <w:rPr>
                <w:rFonts w:ascii="Calibri" w:cs="Calibri" w:eastAsia="Calibri" w:hAnsi="Calibri"/>
                <w:b/>
                <w:bCs/>
                <w:color w:val="FFFFFF"/>
                <w:sz w:val="19"/>
                <w:szCs w:val="19"/>
              </w:rPr>
              <w:t xml:space="preserve">natürliche Sprache</w:t>
            </w:r>
          </w:p>
        </w:tc>
      </w:tr>
      <w:tr>
        <w:trPr>
          <w:cantSplit/>
          <w:tblHeader w:val="false"/>
        </w:trPr>
        <w:tc>
          <w:tcPr>
            <w:tcW w:type="dxa" w:w="1701"/>
            <w:tcMar>
              <w:top w:type="dxa" w:w="50"/>
              <w:left w:type="dxa" w:w="120"/>
              <w:bottom w:type="dxa" w:w="50"/>
              <w:right w:type="dxa" w:w="120"/>
            </w:tcMar>
            <w:vAlign w:val="center"/>
          </w:tcPr>
          <w:p>
            <w:pPr>
              <w:spacing w:after="40" w:before="0" w:line="276"/>
              <w:jc w:val="left"/>
            </w:pPr>
            <w:r>
              <w:rPr>
                <w:rFonts w:ascii="Calibri" w:cs="Calibri" w:eastAsia="Calibri" w:hAnsi="Calibri"/>
                <w:b/>
                <w:bCs/>
                <w:color w:val="1F2A2E"/>
                <w:sz w:val="19"/>
                <w:szCs w:val="19"/>
              </w:rPr>
              <w:t xml:space="preserve">Regeln</w:t>
            </w:r>
          </w:p>
        </w:tc>
        <w:tc>
          <w:tcPr>
            <w:tcW w:type="dxa" w:w="4082"/>
            <w:tcMar>
              <w:top w:type="dxa" w:w="50"/>
              <w:left w:type="dxa" w:w="120"/>
              <w:bottom w:type="dxa" w:w="50"/>
              <w:right w:type="dxa" w:w="120"/>
            </w:tcMar>
            <w:vAlign w:val="center"/>
          </w:tcPr>
          <w:p>
            <w:pPr>
              <w:spacing w:after="40" w:before="0" w:line="276"/>
              <w:jc w:val="left"/>
            </w:pPr>
            <w:r>
              <w:rPr>
                <w:rFonts w:ascii="Calibri" w:cs="Calibri" w:eastAsia="Calibri" w:hAnsi="Calibri"/>
                <w:b w:val="false"/>
                <w:bCs w:val="false"/>
                <w:color w:val="1F2A2E"/>
                <w:sz w:val="19"/>
                <w:szCs w:val="19"/>
              </w:rPr>
              <w:t xml:space="preserve">vollständig und fest definiert (Grammatik), keine Ausnahmen</w:t>
            </w:r>
          </w:p>
        </w:tc>
        <w:tc>
          <w:tcPr>
            <w:tcW w:type="dxa" w:w="4082"/>
            <w:tcMar>
              <w:top w:type="dxa" w:w="50"/>
              <w:left w:type="dxa" w:w="120"/>
              <w:bottom w:type="dxa" w:w="50"/>
              <w:right w:type="dxa" w:w="120"/>
            </w:tcMar>
            <w:vAlign w:val="center"/>
          </w:tcPr>
          <w:p>
            <w:pPr>
              <w:spacing w:after="40" w:before="0" w:line="276"/>
              <w:jc w:val="left"/>
            </w:pPr>
            <w:r>
              <w:rPr>
                <w:rFonts w:ascii="Calibri" w:cs="Calibri" w:eastAsia="Calibri" w:hAnsi="Calibri"/>
                <w:b w:val="false"/>
                <w:bCs w:val="false"/>
                <w:color w:val="1F2A2E"/>
                <w:sz w:val="19"/>
                <w:szCs w:val="19"/>
              </w:rPr>
              <w:t xml:space="preserve">historisch gewachsen, viele Ausnahmen, Regeln ändern sich (Sprachwandel)</w:t>
            </w:r>
          </w:p>
        </w:tc>
      </w:tr>
      <w:tr>
        <w:trPr>
          <w:cantSplit/>
          <w:tblHeader w:val="false"/>
        </w:trPr>
        <w:tc>
          <w:tcPr>
            <w:tcW w:type="dxa" w:w="1701"/>
            <w:tcMar>
              <w:top w:type="dxa" w:w="50"/>
              <w:left w:type="dxa" w:w="120"/>
              <w:bottom w:type="dxa" w:w="50"/>
              <w:right w:type="dxa" w:w="120"/>
            </w:tcMar>
            <w:vAlign w:val="center"/>
          </w:tcPr>
          <w:p>
            <w:pPr>
              <w:spacing w:after="40" w:before="0" w:line="276"/>
              <w:jc w:val="left"/>
            </w:pPr>
            <w:r>
              <w:rPr>
                <w:rFonts w:ascii="Calibri" w:cs="Calibri" w:eastAsia="Calibri" w:hAnsi="Calibri"/>
                <w:b/>
                <w:bCs/>
                <w:color w:val="1F2A2E"/>
                <w:sz w:val="19"/>
                <w:szCs w:val="19"/>
              </w:rPr>
              <w:t xml:space="preserve">Eindeutigkeit</w:t>
            </w:r>
          </w:p>
        </w:tc>
        <w:tc>
          <w:tcPr>
            <w:tcW w:type="dxa" w:w="4082"/>
            <w:tcMar>
              <w:top w:type="dxa" w:w="50"/>
              <w:left w:type="dxa" w:w="120"/>
              <w:bottom w:type="dxa" w:w="50"/>
              <w:right w:type="dxa" w:w="120"/>
            </w:tcMar>
            <w:vAlign w:val="center"/>
          </w:tcPr>
          <w:p>
            <w:pPr>
              <w:spacing w:after="40" w:before="0" w:line="276"/>
              <w:jc w:val="left"/>
            </w:pPr>
            <w:r>
              <w:rPr>
                <w:rFonts w:ascii="Calibri" w:cs="Calibri" w:eastAsia="Calibri" w:hAnsi="Calibri"/>
                <w:b w:val="false"/>
                <w:bCs w:val="false"/>
                <w:color w:val="1F2A2E"/>
                <w:sz w:val="19"/>
                <w:szCs w:val="19"/>
              </w:rPr>
              <w:t xml:space="preserve">in der Regel eindeutig (Programme müssen eindeutig interpretierbar sein)</w:t>
            </w:r>
          </w:p>
        </w:tc>
        <w:tc>
          <w:tcPr>
            <w:tcW w:type="dxa" w:w="4082"/>
            <w:tcMar>
              <w:top w:type="dxa" w:w="50"/>
              <w:left w:type="dxa" w:w="120"/>
              <w:bottom w:type="dxa" w:w="50"/>
              <w:right w:type="dxa" w:w="120"/>
            </w:tcMar>
            <w:vAlign w:val="center"/>
          </w:tcPr>
          <w:p>
            <w:pPr>
              <w:spacing w:after="40" w:before="0" w:line="276"/>
              <w:jc w:val="left"/>
            </w:pPr>
            <w:r>
              <w:rPr>
                <w:rFonts w:ascii="Calibri" w:cs="Calibri" w:eastAsia="Calibri" w:hAnsi="Calibri"/>
                <w:b w:val="false"/>
                <w:bCs w:val="false"/>
                <w:color w:val="1F2A2E"/>
                <w:sz w:val="19"/>
                <w:szCs w:val="19"/>
              </w:rPr>
              <w:t xml:space="preserve">oft mehrdeutig: „Ich sah den Mann mit dem Fernglas.“</w:t>
            </w:r>
          </w:p>
        </w:tc>
      </w:tr>
      <w:tr>
        <w:trPr>
          <w:cantSplit/>
          <w:tblHeader w:val="false"/>
        </w:trPr>
        <w:tc>
          <w:tcPr>
            <w:tcW w:type="dxa" w:w="1701"/>
            <w:tcMar>
              <w:top w:type="dxa" w:w="50"/>
              <w:left w:type="dxa" w:w="120"/>
              <w:bottom w:type="dxa" w:w="50"/>
              <w:right w:type="dxa" w:w="120"/>
            </w:tcMar>
            <w:vAlign w:val="center"/>
          </w:tcPr>
          <w:p>
            <w:pPr>
              <w:spacing w:after="40" w:before="0" w:line="276"/>
              <w:jc w:val="left"/>
            </w:pPr>
            <w:r>
              <w:rPr>
                <w:rFonts w:ascii="Calibri" w:cs="Calibri" w:eastAsia="Calibri" w:hAnsi="Calibri"/>
                <w:b/>
                <w:bCs/>
                <w:color w:val="1F2A2E"/>
                <w:sz w:val="19"/>
                <w:szCs w:val="19"/>
              </w:rPr>
              <w:t xml:space="preserve">Bedeutung</w:t>
            </w:r>
          </w:p>
        </w:tc>
        <w:tc>
          <w:tcPr>
            <w:tcW w:type="dxa" w:w="4082"/>
            <w:tcMar>
              <w:top w:type="dxa" w:w="50"/>
              <w:left w:type="dxa" w:w="120"/>
              <w:bottom w:type="dxa" w:w="50"/>
              <w:right w:type="dxa" w:w="120"/>
            </w:tcMar>
            <w:vAlign w:val="center"/>
          </w:tcPr>
          <w:p>
            <w:pPr>
              <w:spacing w:after="40" w:before="0" w:line="276"/>
              <w:jc w:val="left"/>
            </w:pPr>
            <w:r>
              <w:rPr>
                <w:rFonts w:ascii="Calibri" w:cs="Calibri" w:eastAsia="Calibri" w:hAnsi="Calibri"/>
                <w:b w:val="false"/>
                <w:bCs w:val="false"/>
                <w:color w:val="1F2A2E"/>
                <w:sz w:val="19"/>
                <w:szCs w:val="19"/>
              </w:rPr>
              <w:t xml:space="preserve">exakt festgelegt, unabhängig vom Kontext</w:t>
            </w:r>
          </w:p>
        </w:tc>
        <w:tc>
          <w:tcPr>
            <w:tcW w:type="dxa" w:w="4082"/>
            <w:tcMar>
              <w:top w:type="dxa" w:w="50"/>
              <w:left w:type="dxa" w:w="120"/>
              <w:bottom w:type="dxa" w:w="50"/>
              <w:right w:type="dxa" w:w="120"/>
            </w:tcMar>
            <w:vAlign w:val="center"/>
          </w:tcPr>
          <w:p>
            <w:pPr>
              <w:spacing w:after="40" w:before="0" w:line="276"/>
              <w:jc w:val="left"/>
            </w:pPr>
            <w:r>
              <w:rPr>
                <w:rFonts w:ascii="Calibri" w:cs="Calibri" w:eastAsia="Calibri" w:hAnsi="Calibri"/>
                <w:b w:val="false"/>
                <w:bCs w:val="false"/>
                <w:color w:val="1F2A2E"/>
                <w:sz w:val="19"/>
                <w:szCs w:val="19"/>
              </w:rPr>
              <w:t xml:space="preserve">kontextabhängig (Ironie, Betonung, Situation)</w:t>
            </w:r>
          </w:p>
        </w:tc>
      </w:tr>
      <w:tr>
        <w:trPr>
          <w:cantSplit/>
          <w:tblHeader w:val="false"/>
        </w:trPr>
        <w:tc>
          <w:tcPr>
            <w:tcW w:type="dxa" w:w="1701"/>
            <w:tcMar>
              <w:top w:type="dxa" w:w="50"/>
              <w:left w:type="dxa" w:w="120"/>
              <w:bottom w:type="dxa" w:w="50"/>
              <w:right w:type="dxa" w:w="120"/>
            </w:tcMar>
            <w:vAlign w:val="center"/>
          </w:tcPr>
          <w:p>
            <w:pPr>
              <w:spacing w:after="40" w:before="0" w:line="276"/>
              <w:jc w:val="left"/>
            </w:pPr>
            <w:r>
              <w:rPr>
                <w:rFonts w:ascii="Calibri" w:cs="Calibri" w:eastAsia="Calibri" w:hAnsi="Calibri"/>
                <w:b/>
                <w:bCs/>
                <w:color w:val="1F2A2E"/>
                <w:sz w:val="19"/>
                <w:szCs w:val="19"/>
              </w:rPr>
              <w:t xml:space="preserve">Wortschatz</w:t>
            </w:r>
          </w:p>
        </w:tc>
        <w:tc>
          <w:tcPr>
            <w:tcW w:type="dxa" w:w="4082"/>
            <w:tcMar>
              <w:top w:type="dxa" w:w="50"/>
              <w:left w:type="dxa" w:w="120"/>
              <w:bottom w:type="dxa" w:w="50"/>
              <w:right w:type="dxa" w:w="120"/>
            </w:tcMar>
            <w:vAlign w:val="center"/>
          </w:tcPr>
          <w:p>
            <w:pPr>
              <w:spacing w:after="40" w:before="0" w:line="276"/>
              <w:jc w:val="left"/>
            </w:pPr>
            <w:r>
              <w:rPr>
                <w:rFonts w:ascii="Calibri" w:cs="Calibri" w:eastAsia="Calibri" w:hAnsi="Calibri"/>
                <w:b w:val="false"/>
                <w:bCs w:val="false"/>
                <w:color w:val="1F2A2E"/>
                <w:sz w:val="19"/>
                <w:szCs w:val="19"/>
              </w:rPr>
              <w:t xml:space="preserve">endliches, festgelegtes Alphabet</w:t>
            </w:r>
          </w:p>
        </w:tc>
        <w:tc>
          <w:tcPr>
            <w:tcW w:type="dxa" w:w="4082"/>
            <w:tcMar>
              <w:top w:type="dxa" w:w="50"/>
              <w:left w:type="dxa" w:w="120"/>
              <w:bottom w:type="dxa" w:w="50"/>
              <w:right w:type="dxa" w:w="120"/>
            </w:tcMar>
            <w:vAlign w:val="center"/>
          </w:tcPr>
          <w:p>
            <w:pPr>
              <w:spacing w:after="40" w:before="0" w:line="276"/>
              <w:jc w:val="left"/>
            </w:pPr>
            <w:r>
              <w:rPr>
                <w:rFonts w:ascii="Calibri" w:cs="Calibri" w:eastAsia="Calibri" w:hAnsi="Calibri"/>
                <w:b w:val="false"/>
                <w:bCs w:val="false"/>
                <w:color w:val="1F2A2E"/>
                <w:sz w:val="19"/>
                <w:szCs w:val="19"/>
              </w:rPr>
              <w:t xml:space="preserve">offen, ständig neue Wörter („googeln“)</w:t>
            </w:r>
          </w:p>
        </w:tc>
      </w:tr>
      <w:tr>
        <w:trPr>
          <w:cantSplit/>
          <w:tblHeader w:val="false"/>
        </w:trPr>
        <w:tc>
          <w:tcPr>
            <w:tcW w:type="dxa" w:w="1701"/>
            <w:tcMar>
              <w:top w:type="dxa" w:w="50"/>
              <w:left w:type="dxa" w:w="120"/>
              <w:bottom w:type="dxa" w:w="50"/>
              <w:right w:type="dxa" w:w="120"/>
            </w:tcMar>
            <w:vAlign w:val="center"/>
          </w:tcPr>
          <w:p>
            <w:pPr>
              <w:spacing w:after="40" w:before="0" w:line="276"/>
              <w:jc w:val="left"/>
            </w:pPr>
            <w:r>
              <w:rPr>
                <w:rFonts w:ascii="Calibri" w:cs="Calibri" w:eastAsia="Calibri" w:hAnsi="Calibri"/>
                <w:b/>
                <w:bCs/>
                <w:color w:val="1F2A2E"/>
                <w:sz w:val="19"/>
                <w:szCs w:val="19"/>
              </w:rPr>
              <w:t xml:space="preserve">Fehlertoleranz</w:t>
            </w:r>
          </w:p>
        </w:tc>
        <w:tc>
          <w:tcPr>
            <w:tcW w:type="dxa" w:w="4082"/>
            <w:tcMar>
              <w:top w:type="dxa" w:w="50"/>
              <w:left w:type="dxa" w:w="120"/>
              <w:bottom w:type="dxa" w:w="50"/>
              <w:right w:type="dxa" w:w="120"/>
            </w:tcMar>
            <w:vAlign w:val="center"/>
          </w:tcPr>
          <w:p>
            <w:pPr>
              <w:spacing w:after="40" w:before="0" w:line="276"/>
              <w:jc w:val="left"/>
            </w:pPr>
            <w:r>
              <w:rPr>
                <w:rFonts w:ascii="Calibri" w:cs="Calibri" w:eastAsia="Calibri" w:hAnsi="Calibri"/>
                <w:b w:val="false"/>
                <w:bCs w:val="false"/>
                <w:color w:val="1F2A2E"/>
                <w:sz w:val="19"/>
                <w:szCs w:val="19"/>
              </w:rPr>
              <w:t xml:space="preserve">schon ein Syntaxfehler verhindert die Übersetzung</w:t>
            </w:r>
          </w:p>
        </w:tc>
        <w:tc>
          <w:tcPr>
            <w:tcW w:type="dxa" w:w="4082"/>
            <w:tcMar>
              <w:top w:type="dxa" w:w="50"/>
              <w:left w:type="dxa" w:w="120"/>
              <w:bottom w:type="dxa" w:w="50"/>
              <w:right w:type="dxa" w:w="120"/>
            </w:tcMar>
            <w:vAlign w:val="center"/>
          </w:tcPr>
          <w:p>
            <w:pPr>
              <w:spacing w:after="40" w:before="0" w:line="276"/>
              <w:jc w:val="left"/>
            </w:pPr>
            <w:r>
              <w:rPr>
                <w:rFonts w:ascii="Calibri" w:cs="Calibri" w:eastAsia="Calibri" w:hAnsi="Calibri"/>
                <w:b w:val="false"/>
                <w:bCs w:val="false"/>
                <w:color w:val="1F2A2E"/>
                <w:sz w:val="19"/>
                <w:szCs w:val="19"/>
              </w:rPr>
              <w:t xml:space="preserve">Verständigung trotz Fehlern möglich</w:t>
            </w:r>
          </w:p>
        </w:tc>
      </w:tr>
    </w:tbl>
    <w:p>
      <w:pPr>
        <w:spacing w:after="140" w:before="0"/>
      </w:pPr>
    </w:p>
    <w:p>
      <w:pPr>
        <w:keepNext/>
        <w:spacing w:after="60" w:before="160"/>
      </w:pPr>
      <w:r>
        <w:rPr>
          <w:rFonts w:ascii="Calibri" w:cs="Calibri" w:eastAsia="Calibri" w:hAnsi="Calibri"/>
          <w:b/>
          <w:bCs/>
          <w:color w:val="B26A0F"/>
          <w:sz w:val="23"/>
          <w:szCs w:val="23"/>
        </w:rPr>
        <w:t xml:space="preserve">Aufgabe 2 – Mini-Deutsch</w:t>
      </w:r>
    </w:p>
    <w:p>
      <w:pPr>
        <w:spacing w:after="40" w:before="0" w:line="276"/>
        <w:jc w:val="left"/>
      </w:pPr>
      <w:r>
        <w:rPr>
          <w:rFonts w:ascii="Calibri" w:cs="Calibri" w:eastAsia="Calibri" w:hAnsi="Calibri"/>
          <w:color w:val="1F2A2E"/>
          <w:sz w:val="22"/>
          <w:szCs w:val="22"/>
        </w:rPr>
        <w:t xml:space="preserve">a) Ableitung (in jedem Schritt wird das linkeste Nichtterminal ersetzt):</w:t>
      </w:r>
    </w:p>
    <w:p>
      <w:pPr>
        <w:spacing w:after="20" w:before="0" w:line="276"/>
        <w:ind w:left="360"/>
        <w:jc w:val="left"/>
      </w:pPr>
      <w:r>
        <w:rPr>
          <w:rFonts w:ascii="Calibri" w:cs="Calibri" w:eastAsia="Calibri" w:hAnsi="Calibri"/>
          <w:color w:val="1F2A2E"/>
          <w:sz w:val="20"/>
          <w:szCs w:val="20"/>
        </w:rPr>
        <w:t xml:space="preserve">     Start</w:t>
      </w:r>
    </w:p>
    <w:p>
      <w:pPr>
        <w:spacing w:after="20" w:before="0" w:line="276"/>
        <w:ind w:left="360"/>
        <w:jc w:val="left"/>
      </w:pPr>
      <w:r>
        <w:rPr>
          <w:rFonts w:ascii="Calibri" w:cs="Calibri" w:eastAsia="Calibri" w:hAnsi="Calibri"/>
          <w:color w:val="1F2A2E"/>
          <w:sz w:val="20"/>
          <w:szCs w:val="20"/>
        </w:rPr>
        <w:t xml:space="preserve">⇒ Subjekt Prädikat Objekt Punkt</w:t>
      </w:r>
    </w:p>
    <w:p>
      <w:pPr>
        <w:spacing w:after="20" w:before="0" w:line="276"/>
        <w:ind w:left="360"/>
        <w:jc w:val="left"/>
      </w:pPr>
      <w:r>
        <w:rPr>
          <w:rFonts w:ascii="Calibri" w:cs="Calibri" w:eastAsia="Calibri" w:hAnsi="Calibri"/>
          <w:color w:val="1F2A2E"/>
          <w:sz w:val="20"/>
          <w:szCs w:val="20"/>
        </w:rPr>
        <w:t xml:space="preserve">⇒ Artikel Nomen Prädikat Objekt Punkt</w:t>
      </w:r>
    </w:p>
    <w:p>
      <w:pPr>
        <w:spacing w:after="20" w:before="0" w:line="276"/>
        <w:ind w:left="360"/>
        <w:jc w:val="left"/>
      </w:pPr>
      <w:r>
        <w:rPr>
          <w:rFonts w:ascii="Calibri" w:cs="Calibri" w:eastAsia="Calibri" w:hAnsi="Calibri"/>
          <w:color w:val="1F2A2E"/>
          <w:sz w:val="20"/>
          <w:szCs w:val="20"/>
        </w:rPr>
        <w:t xml:space="preserve">⇒ Die Nomen Prädikat Objekt Punkt</w:t>
      </w:r>
    </w:p>
    <w:p>
      <w:pPr>
        <w:spacing w:after="20" w:before="0" w:line="276"/>
        <w:ind w:left="360"/>
        <w:jc w:val="left"/>
      </w:pPr>
      <w:r>
        <w:rPr>
          <w:rFonts w:ascii="Calibri" w:cs="Calibri" w:eastAsia="Calibri" w:hAnsi="Calibri"/>
          <w:color w:val="1F2A2E"/>
          <w:sz w:val="20"/>
          <w:szCs w:val="20"/>
        </w:rPr>
        <w:t xml:space="preserve">⇒ Die Ziege Prädikat Objekt Punkt</w:t>
      </w:r>
    </w:p>
    <w:p>
      <w:pPr>
        <w:spacing w:after="20" w:before="0" w:line="276"/>
        <w:ind w:left="360"/>
        <w:jc w:val="left"/>
      </w:pPr>
      <w:r>
        <w:rPr>
          <w:rFonts w:ascii="Calibri" w:cs="Calibri" w:eastAsia="Calibri" w:hAnsi="Calibri"/>
          <w:color w:val="1F2A2E"/>
          <w:sz w:val="20"/>
          <w:szCs w:val="20"/>
        </w:rPr>
        <w:t xml:space="preserve">⇒ Die Ziege trinkt Objekt Punkt</w:t>
      </w:r>
    </w:p>
    <w:p>
      <w:pPr>
        <w:spacing w:after="20" w:before="0" w:line="276"/>
        <w:ind w:left="360"/>
        <w:jc w:val="left"/>
      </w:pPr>
      <w:r>
        <w:rPr>
          <w:rFonts w:ascii="Calibri" w:cs="Calibri" w:eastAsia="Calibri" w:hAnsi="Calibri"/>
          <w:color w:val="1F2A2E"/>
          <w:sz w:val="20"/>
          <w:szCs w:val="20"/>
        </w:rPr>
        <w:t xml:space="preserve">⇒ Die Ziege trinkt Wasser Punkt</w:t>
      </w:r>
    </w:p>
    <w:p>
      <w:pPr>
        <w:spacing w:after="20" w:before="0" w:line="276"/>
        <w:ind w:left="360"/>
        <w:jc w:val="left"/>
      </w:pPr>
      <w:r>
        <w:rPr>
          <w:rFonts w:ascii="Calibri" w:cs="Calibri" w:eastAsia="Calibri" w:hAnsi="Calibri"/>
          <w:color w:val="1F2A2E"/>
          <w:sz w:val="20"/>
          <w:szCs w:val="20"/>
        </w:rPr>
        <w:t xml:space="preserve">⇒ Die Ziege trinkt Wasser .</w:t>
      </w:r>
    </w:p>
    <w:p>
      <w:pPr>
        <w:keepNext/>
        <w:spacing w:after="100" w:before="80" w:line="276"/>
        <w:jc w:val="left"/>
      </w:pPr>
      <w:r>
        <w:rPr>
          <w:rFonts w:ascii="Calibri" w:cs="Calibri" w:eastAsia="Calibri" w:hAnsi="Calibri"/>
          <w:color w:val="1F2A2E"/>
          <w:sz w:val="22"/>
          <w:szCs w:val="22"/>
        </w:rPr>
        <w:t xml:space="preserve">b) Ableitungsbaum:</w:t>
      </w:r>
    </w:p>
    <w:p>
      <w:pPr>
        <w:keepNext w:val="false"/>
        <w:spacing w:after="120" w:before="60"/>
        <w:jc w:val="center"/>
      </w:pPr>
      <w:r>
        <w:drawing>
          <wp:inline distT="0" distB="0" distL="0" distR="0">
            <wp:extent cx="3057525" cy="1714500"/>
            <wp:effectExtent t="0" r="0" b="0" l="0"/>
            <wp:docPr id="1" name="baum_ziege.png" descr="Abbildung" title="Abbild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057525" cy="1714500"/>
                    </a:xfrm>
                    <a:prstGeom prst="rect">
                      <a:avLst/>
                    </a:prstGeom>
                  </pic:spPr>
                </pic:pic>
              </a:graphicData>
            </a:graphic>
          </wp:inline>
        </w:drawing>
      </w:r>
    </w:p>
    <w:p>
      <w:pPr>
        <w:pStyle w:val="ListParagraph"/>
        <w:numPr>
          <w:ilvl w:val="0"/>
          <w:numId w:val="2"/>
        </w:numPr>
        <w:spacing w:after="60" w:line="264"/>
      </w:pPr>
      <w:r>
        <w:rPr>
          <w:rFonts w:ascii="Calibri" w:cs="Calibri" w:eastAsia="Calibri" w:hAnsi="Calibri"/>
          <w:color w:val="1F2A2E"/>
          <w:sz w:val="22"/>
          <w:szCs w:val="22"/>
        </w:rPr>
        <w:t xml:space="preserve">c) Mit Objekt: 3 · 6 · 4 · 4 = 288 Sätze, ohne Objekt: 3 · 6 · 4 = 72 Sätze, zusammen </w:t>
      </w:r>
      <w:r>
        <w:rPr>
          <w:rFonts w:ascii="Calibri" w:cs="Calibri" w:eastAsia="Calibri" w:hAnsi="Calibri"/>
          <w:b/>
          <w:bCs/>
          <w:color w:val="1F2A2E"/>
          <w:sz w:val="22"/>
          <w:szCs w:val="22"/>
        </w:rPr>
        <w:t xml:space="preserve">360 Sätze</w:t>
      </w:r>
      <w:r>
        <w:rPr>
          <w:rFonts w:ascii="Calibri" w:cs="Calibri" w:eastAsia="Calibri" w:hAnsi="Calibri"/>
          <w:color w:val="1F2A2E"/>
          <w:sz w:val="22"/>
          <w:szCs w:val="22"/>
        </w:rPr>
        <w:t xml:space="preserve">. Davon sind nur 120 genus-korrekt.</w:t>
      </w:r>
    </w:p>
    <w:p>
      <w:pPr>
        <w:pStyle w:val="ListParagraph"/>
        <w:numPr>
          <w:ilvl w:val="0"/>
          <w:numId w:val="2"/>
        </w:numPr>
        <w:spacing w:after="60" w:line="264"/>
      </w:pPr>
      <w:r>
        <w:rPr>
          <w:rFonts w:ascii="Calibri" w:cs="Calibri" w:eastAsia="Calibri" w:hAnsi="Calibri"/>
          <w:color w:val="1F2A2E"/>
          <w:sz w:val="22"/>
          <w:szCs w:val="22"/>
        </w:rPr>
        <w:t xml:space="preserve">d) z. B. „Die Hund frisst Wasser.“ und „Das Igel trinkt Möhren.“ (Genus von Artikel und Nomen passt nicht). Weitere: „Der Katze liest Zeitung.“, „Die Pferd knabbert.“</w:t>
      </w:r>
    </w:p>
    <w:p>
      <w:pPr>
        <w:keepNext/>
        <w:spacing w:after="60" w:before="160"/>
      </w:pPr>
      <w:r>
        <w:rPr>
          <w:rFonts w:ascii="Calibri" w:cs="Calibri" w:eastAsia="Calibri" w:hAnsi="Calibri"/>
          <w:b/>
          <w:bCs/>
          <w:color w:val="B26A0F"/>
          <w:sz w:val="23"/>
          <w:szCs w:val="23"/>
        </w:rPr>
        <w:t xml:space="preserve">Aufgabe 3 – Grammatik-Reparatur</w:t>
      </w:r>
    </w:p>
    <w:p>
      <w:pPr>
        <w:pStyle w:val="ListParagraph"/>
        <w:numPr>
          <w:ilvl w:val="0"/>
          <w:numId w:val="2"/>
        </w:numPr>
        <w:spacing w:after="60" w:line="264"/>
      </w:pPr>
      <w:r>
        <w:rPr>
          <w:rFonts w:ascii="Calibri" w:cs="Calibri" w:eastAsia="Calibri" w:hAnsi="Calibri"/>
          <w:color w:val="1F2A2E"/>
          <w:sz w:val="22"/>
          <w:szCs w:val="22"/>
        </w:rPr>
        <w:t xml:space="preserve">a) Der Artikel muss im </w:t>
      </w:r>
      <w:r>
        <w:rPr>
          <w:rFonts w:ascii="Calibri" w:cs="Calibri" w:eastAsia="Calibri" w:hAnsi="Calibri"/>
          <w:b/>
          <w:bCs/>
          <w:color w:val="1F2A2E"/>
          <w:sz w:val="22"/>
          <w:szCs w:val="22"/>
        </w:rPr>
        <w:t xml:space="preserve">Genus</w:t>
      </w:r>
      <w:r>
        <w:rPr>
          <w:rFonts w:ascii="Calibri" w:cs="Calibri" w:eastAsia="Calibri" w:hAnsi="Calibri"/>
          <w:color w:val="1F2A2E"/>
          <w:sz w:val="22"/>
          <w:szCs w:val="22"/>
        </w:rPr>
        <w:t xml:space="preserve"> (grammatischen Geschlecht) mit dem Nomen übereinstimmen: der Hund/Igel, die Katze/Ziege, das Pferd/Schaf. G1 wählt Artikel und Nomen unabhängig voneinander.</w:t>
      </w:r>
    </w:p>
    <w:p>
      <w:pPr>
        <w:pStyle w:val="ListParagraph"/>
        <w:numPr>
          <w:ilvl w:val="0"/>
          <w:numId w:val="2"/>
        </w:numPr>
        <w:spacing w:after="60" w:line="264"/>
      </w:pPr>
      <w:r>
        <w:rPr>
          <w:rFonts w:ascii="Calibri" w:cs="Calibri" w:eastAsia="Calibri" w:hAnsi="Calibri"/>
          <w:color w:val="1F2A2E"/>
          <w:sz w:val="22"/>
          <w:szCs w:val="22"/>
        </w:rPr>
        <w:t xml:space="preserve">b) Eine mögliche Lösung (Terminalsymbole unverändert, Regel für Artikel entfällt):</w:t>
      </w:r>
    </w:p>
    <w:tbl>
      <w:tblPr>
        <w:tblW w:type="dxa" w:w="9866"/>
        <w:tblBorders>
          <w:top w:val="single" w:color="C9D3D6" w:sz="6"/>
          <w:left w:val="single" w:color="C9D3D6" w:sz="6"/>
          <w:bottom w:val="single" w:color="C9D3D6" w:sz="6"/>
          <w:right w:val="single" w:color="C9D3D6" w:sz="6"/>
          <w:insideH w:val="none" w:color="FFFFFF" w:sz="0"/>
          <w:insideV w:val="none" w:color="FFFFFF" w:sz="0"/>
        </w:tblBorders>
        <w:tblLayout w:type="fixed"/>
      </w:tblPr>
      <w:tblGrid>
        <w:gridCol w:w="9866"/>
      </w:tblGrid>
      <w:tr>
        <w:trPr>
          <w:cantSplit/>
        </w:trPr>
        <w:tc>
          <w:tcPr>
            <w:tcW w:type="dxa" w:w="9866"/>
            <w:shd w:fill="F6F8F8" w:color="auto" w:val="clear"/>
            <w:tcMar>
              <w:top w:type="dxa" w:w="120"/>
              <w:left w:type="dxa" w:w="200"/>
              <w:bottom w:type="dxa" w:w="100"/>
              <w:right w:type="dxa" w:w="200"/>
            </w:tcMar>
            <w:vAlign w:val="top"/>
          </w:tcPr>
          <w:p>
            <w:pPr>
              <w:spacing w:after="30" w:before="0" w:line="276"/>
              <w:ind w:left="280"/>
              <w:jc w:val="left"/>
            </w:pPr>
            <w:r>
              <w:rPr>
                <w:rFonts w:ascii="Calibri" w:cs="Calibri" w:eastAsia="Calibri" w:hAnsi="Calibri"/>
                <w:color w:val="1F2A2E"/>
                <w:sz w:val="20"/>
                <w:szCs w:val="20"/>
              </w:rPr>
              <w:t xml:space="preserve">Start → Subjekt Prädikat Objekt Punkt | Subjekt Prädikat Punkt</w:t>
            </w:r>
          </w:p>
          <w:p>
            <w:pPr>
              <w:spacing w:after="30" w:before="0" w:line="276"/>
              <w:ind w:left="280"/>
              <w:jc w:val="left"/>
            </w:pPr>
            <w:r>
              <w:rPr>
                <w:rFonts w:ascii="Calibri" w:cs="Calibri" w:eastAsia="Calibri" w:hAnsi="Calibri"/>
                <w:color w:val="1F2A2E"/>
                <w:sz w:val="20"/>
                <w:szCs w:val="20"/>
              </w:rPr>
              <w:t xml:space="preserve">Subjekt → Der NomenM | Die NomenF | Das NomenN</w:t>
            </w:r>
          </w:p>
          <w:p>
            <w:pPr>
              <w:spacing w:after="30" w:before="0" w:line="276"/>
              <w:ind w:left="280"/>
              <w:jc w:val="left"/>
            </w:pPr>
            <w:r>
              <w:rPr>
                <w:rFonts w:ascii="Calibri" w:cs="Calibri" w:eastAsia="Calibri" w:hAnsi="Calibri"/>
                <w:color w:val="1F2A2E"/>
                <w:sz w:val="20"/>
                <w:szCs w:val="20"/>
              </w:rPr>
              <w:t xml:space="preserve">NomenM → Hund | Igel</w:t>
            </w:r>
          </w:p>
          <w:p>
            <w:pPr>
              <w:spacing w:after="30" w:before="0" w:line="276"/>
              <w:ind w:left="280"/>
              <w:jc w:val="left"/>
            </w:pPr>
            <w:r>
              <w:rPr>
                <w:rFonts w:ascii="Calibri" w:cs="Calibri" w:eastAsia="Calibri" w:hAnsi="Calibri"/>
                <w:color w:val="1F2A2E"/>
                <w:sz w:val="20"/>
                <w:szCs w:val="20"/>
              </w:rPr>
              <w:t xml:space="preserve">NomenF → Katze | Ziege</w:t>
            </w:r>
          </w:p>
          <w:p>
            <w:pPr>
              <w:spacing w:after="30" w:before="0" w:line="276"/>
              <w:ind w:left="280"/>
              <w:jc w:val="left"/>
            </w:pPr>
            <w:r>
              <w:rPr>
                <w:rFonts w:ascii="Calibri" w:cs="Calibri" w:eastAsia="Calibri" w:hAnsi="Calibri"/>
                <w:color w:val="1F2A2E"/>
                <w:sz w:val="20"/>
                <w:szCs w:val="20"/>
              </w:rPr>
              <w:t xml:space="preserve">NomenN → Pferd | Schaf</w:t>
            </w:r>
          </w:p>
          <w:p>
            <w:pPr>
              <w:spacing w:after="30" w:before="0" w:line="276"/>
              <w:ind w:left="280"/>
              <w:jc w:val="left"/>
            </w:pPr>
            <w:r>
              <w:rPr>
                <w:rFonts w:ascii="Calibri" w:cs="Calibri" w:eastAsia="Calibri" w:hAnsi="Calibri"/>
                <w:color w:val="1F2A2E"/>
                <w:sz w:val="20"/>
                <w:szCs w:val="20"/>
              </w:rPr>
              <w:t xml:space="preserve">Prädikat → frisst | knabbert | trinkt | liest</w:t>
            </w:r>
          </w:p>
          <w:p>
            <w:pPr>
              <w:spacing w:after="30" w:before="0" w:line="276"/>
              <w:ind w:left="280"/>
              <w:jc w:val="left"/>
            </w:pPr>
            <w:r>
              <w:rPr>
                <w:rFonts w:ascii="Calibri" w:cs="Calibri" w:eastAsia="Calibri" w:hAnsi="Calibri"/>
                <w:color w:val="1F2A2E"/>
                <w:sz w:val="20"/>
                <w:szCs w:val="20"/>
              </w:rPr>
              <w:t xml:space="preserve">Objekt → Wasser | Möhren | Äpfel | Zeitung</w:t>
            </w:r>
          </w:p>
          <w:p>
            <w:pPr>
              <w:spacing w:after="30" w:before="0" w:line="276"/>
              <w:ind w:left="280"/>
              <w:jc w:val="left"/>
            </w:pPr>
            <w:r>
              <w:rPr>
                <w:rFonts w:ascii="Calibri" w:cs="Calibri" w:eastAsia="Calibri" w:hAnsi="Calibri"/>
                <w:color w:val="1F2A2E"/>
                <w:sz w:val="20"/>
                <w:szCs w:val="20"/>
              </w:rPr>
              <w:t xml:space="preserve">Punkt → .</w:t>
            </w:r>
          </w:p>
        </w:tc>
      </w:tr>
    </w:tbl>
    <w:p>
      <w:pPr>
        <w:spacing w:after="120" w:before="0"/>
      </w:pPr>
    </w:p>
    <w:p>
      <w:pPr>
        <w:spacing w:after="100" w:before="0" w:line="276"/>
        <w:jc w:val="left"/>
      </w:pPr>
      <w:r>
        <w:rPr>
          <w:rFonts w:ascii="Calibri" w:cs="Calibri" w:eastAsia="Calibri" w:hAnsi="Calibri"/>
          <w:color w:val="1F2A2E"/>
          <w:sz w:val="20"/>
          <w:szCs w:val="20"/>
        </w:rPr>
        <w:t xml:space="preserve">Alternative: Subjekt → ArtikelM NomenM | ArtikelF NomenF | ArtikelN NomenN mit ArtikelM → Der usw. Das Programm zur Materialerstellung hat geprüft: Die veränderte Grammatik erzeugt genau die 120 genus-korrekten Sätze. Ableitung zum Vergleich:</w:t>
      </w:r>
    </w:p>
    <w:p>
      <w:pPr>
        <w:spacing w:after="80" w:before="0" w:line="276"/>
        <w:jc w:val="left"/>
      </w:pPr>
      <w:r>
        <w:rPr>
          <w:rFonts w:ascii="Calibri" w:cs="Calibri" w:eastAsia="Calibri" w:hAnsi="Calibri"/>
          <w:color w:val="1F2A2E"/>
          <w:sz w:val="20"/>
          <w:szCs w:val="20"/>
        </w:rPr>
        <w:t xml:space="preserve">Start ⇒ Subjekt Prädikat Objekt Punkt ⇒ Die NomenF Prädikat Objekt Punkt ⇒ Die Ziege Prädikat Objekt Punkt ⇒ Die Ziege trinkt Objekt Punkt ⇒ Die Ziege trinkt Wasser Punkt ⇒ Die Ziege trinkt Wasser .</w:t>
      </w:r>
    </w:p>
    <w:p>
      <w:pPr>
        <w:pStyle w:val="ListParagraph"/>
        <w:numPr>
          <w:ilvl w:val="0"/>
          <w:numId w:val="2"/>
        </w:numPr>
        <w:spacing w:after="60" w:line="264"/>
      </w:pPr>
      <w:r>
        <w:rPr>
          <w:rFonts w:ascii="Calibri" w:cs="Calibri" w:eastAsia="Calibri" w:hAnsi="Calibri"/>
          <w:color w:val="1F2A2E"/>
          <w:sz w:val="22"/>
          <w:szCs w:val="22"/>
        </w:rPr>
        <w:t xml:space="preserve">c) „Die Ziege liest Zeitung.“ ist ein </w:t>
      </w:r>
      <w:r>
        <w:rPr>
          <w:rFonts w:ascii="Calibri" w:cs="Calibri" w:eastAsia="Calibri" w:hAnsi="Calibri"/>
          <w:b/>
          <w:bCs/>
          <w:color w:val="1F2A2E"/>
          <w:sz w:val="22"/>
          <w:szCs w:val="22"/>
        </w:rPr>
        <w:t xml:space="preserve">Semantik</w:t>
      </w:r>
      <w:r>
        <w:rPr>
          <w:rFonts w:ascii="Calibri" w:cs="Calibri" w:eastAsia="Calibri" w:hAnsi="Calibri"/>
          <w:color w:val="1F2A2E"/>
          <w:sz w:val="22"/>
          <w:szCs w:val="22"/>
        </w:rPr>
        <w:t xml:space="preserve">-Problem, kein Syntax-Problem. Für diese kleine Welt könnte man Verben und Objekte koppeln (trinkt → Wasser, liest → Zeitung …), allgemein lässt sich „Sinn“ aber nicht durch Grammatikregeln erfassen (Kontext, Weltwissen, Märchen, Ironie). Grammatiken legen die </w:t>
      </w:r>
      <w:r>
        <w:rPr>
          <w:rFonts w:ascii="Calibri" w:cs="Calibri" w:eastAsia="Calibri" w:hAnsi="Calibri"/>
          <w:b/>
          <w:bCs/>
          <w:color w:val="1F2A2E"/>
          <w:sz w:val="22"/>
          <w:szCs w:val="22"/>
        </w:rPr>
        <w:t xml:space="preserve">Syntax</w:t>
      </w:r>
      <w:r>
        <w:rPr>
          <w:rFonts w:ascii="Calibri" w:cs="Calibri" w:eastAsia="Calibri" w:hAnsi="Calibri"/>
          <w:color w:val="1F2A2E"/>
          <w:sz w:val="22"/>
          <w:szCs w:val="22"/>
        </w:rPr>
        <w:t xml:space="preserve"> fest – die Bedeutung wird getrennt definiert.</w:t>
      </w:r>
    </w:p>
    <w:p>
      <w:pPr>
        <w:keepNext/>
        <w:spacing w:after="60" w:before="160"/>
      </w:pPr>
      <w:r>
        <w:rPr>
          <w:rFonts w:ascii="Calibri" w:cs="Calibri" w:eastAsia="Calibri" w:hAnsi="Calibri"/>
          <w:b/>
          <w:bCs/>
          <w:color w:val="B26A0F"/>
          <w:sz w:val="23"/>
          <w:szCs w:val="23"/>
        </w:rPr>
        <w:t xml:space="preserve">Aufgabe 4 – Glal-Sprache</w:t>
      </w:r>
    </w:p>
    <w:p>
      <w:pPr>
        <w:pStyle w:val="ListParagraph"/>
        <w:numPr>
          <w:ilvl w:val="0"/>
          <w:numId w:val="2"/>
        </w:numPr>
        <w:spacing w:after="60" w:line="264"/>
      </w:pPr>
      <w:r>
        <w:rPr>
          <w:rFonts w:ascii="Calibri" w:cs="Calibri" w:eastAsia="Calibri" w:hAnsi="Calibri"/>
          <w:color w:val="1F2A2E"/>
          <w:sz w:val="22"/>
          <w:szCs w:val="22"/>
        </w:rPr>
        <w:t xml:space="preserve">a) Die 9 Wörter: lalalu, lalelu, lalulu, lelalu, lelelu, lelulu, lulalu, lulelu, lululu.</w:t>
      </w:r>
    </w:p>
    <w:p>
      <w:pPr>
        <w:keepNext/>
        <w:spacing w:after="100" w:before="0" w:line="276"/>
        <w:ind w:left="400"/>
        <w:jc w:val="left"/>
      </w:pPr>
      <w:r>
        <w:rPr>
          <w:rFonts w:ascii="Calibri" w:cs="Calibri" w:eastAsia="Calibri" w:hAnsi="Calibri"/>
          <w:color w:val="1F2A2E"/>
          <w:sz w:val="22"/>
          <w:szCs w:val="22"/>
        </w:rPr>
        <w:t xml:space="preserve">b) S ⇒ luA ⇒ luleB ⇒ lulelu</w:t>
      </w:r>
    </w:p>
    <w:p>
      <w:pPr>
        <w:keepNext w:val="false"/>
        <w:spacing w:after="120" w:before="60"/>
        <w:jc w:val="center"/>
      </w:pPr>
      <w:r>
        <w:drawing>
          <wp:inline distT="0" distB="0" distL="0" distR="0">
            <wp:extent cx="1152525" cy="1543050"/>
            <wp:effectExtent t="0" r="0" b="0" l="0"/>
            <wp:docPr id="1" name="baum_glal_lulelu.png" descr="Abbildung" title="Abbild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152525" cy="1543050"/>
                    </a:xfrm>
                    <a:prstGeom prst="rect">
                      <a:avLst/>
                    </a:prstGeom>
                  </pic:spPr>
                </pic:pic>
              </a:graphicData>
            </a:graphic>
          </wp:inline>
        </w:drawing>
      </w:r>
    </w:p>
    <w:p>
      <w:pPr>
        <w:pStyle w:val="ListParagraph"/>
        <w:numPr>
          <w:ilvl w:val="0"/>
          <w:numId w:val="2"/>
        </w:numPr>
        <w:spacing w:after="60" w:line="264"/>
      </w:pPr>
      <w:r>
        <w:rPr>
          <w:rFonts w:ascii="Calibri" w:cs="Calibri" w:eastAsia="Calibri" w:hAnsi="Calibri"/>
          <w:color w:val="1F2A2E"/>
          <w:sz w:val="22"/>
          <w:szCs w:val="22"/>
        </w:rPr>
        <w:t xml:space="preserve">c) „lulalu“ gehört dazu: S ⇒ luA ⇒ lulaB ⇒ lulalu. „lalule“ gehört nicht dazu: Die dritte Silbe entsteht nur mit B → lu, sie ist also immer lu. „lalalalu“ gehört nicht dazu: Nach der Regel B → lu ist kein Nichtterminal mehr vorhanden; jede Ableitung hat genau drei Schritte und erzeugt genau drei Silben.</w:t>
      </w:r>
    </w:p>
    <w:p>
      <w:pPr>
        <w:pStyle w:val="ListParagraph"/>
        <w:numPr>
          <w:ilvl w:val="0"/>
          <w:numId w:val="2"/>
        </w:numPr>
        <w:spacing w:after="60" w:line="264"/>
      </w:pPr>
      <w:r>
        <w:rPr>
          <w:rFonts w:ascii="Calibri" w:cs="Calibri" w:eastAsia="Calibri" w:hAnsi="Calibri"/>
          <w:color w:val="1F2A2E"/>
          <w:sz w:val="22"/>
          <w:szCs w:val="22"/>
        </w:rPr>
        <w:t xml:space="preserve">d) S → laS | leS | luS | lu, z. B. S ⇒ laS ⇒ lalaS ⇒ lalaleS ⇒ lalalelu.</w:t>
      </w:r>
    </w:p>
    <w:p>
      <w:pPr>
        <w:keepNext/>
        <w:spacing w:after="60" w:before="160"/>
      </w:pPr>
      <w:r>
        <w:rPr>
          <w:rFonts w:ascii="Calibri" w:cs="Calibri" w:eastAsia="Calibri" w:hAnsi="Calibri"/>
          <w:b/>
          <w:bCs/>
          <w:color w:val="B26A0F"/>
          <w:sz w:val="23"/>
          <w:szCs w:val="23"/>
        </w:rPr>
        <w:t xml:space="preserve">Aufgabe 5 – Grammatik-Detektiv</w:t>
      </w:r>
    </w:p>
    <w:p>
      <w:pPr>
        <w:pStyle w:val="ListParagraph"/>
        <w:numPr>
          <w:ilvl w:val="0"/>
          <w:numId w:val="2"/>
        </w:numPr>
        <w:spacing w:after="60" w:line="264"/>
      </w:pPr>
      <w:r>
        <w:rPr>
          <w:rFonts w:ascii="Calibri" w:cs="Calibri" w:eastAsia="Calibri" w:hAnsi="Calibri"/>
          <w:color w:val="1F2A2E"/>
          <w:sz w:val="22"/>
          <w:szCs w:val="22"/>
        </w:rPr>
        <w:t xml:space="preserve">a) L(G4): alle Wörter über {a, b}, die auf b enden (z. B. b, ab, abab: S ⇒ aS ⇒ abS ⇒ abaS ⇒ abab). L(G5) = {aⁿbaⁿ | n ≥ 0}: ein b in der Mitte, links und rechts gleich viele a (z. B. b, aba, aabaa: S ⇒ aSa ⇒ aaSaa ⇒ aabaa).</w:t>
      </w:r>
    </w:p>
    <w:p>
      <w:pPr>
        <w:pStyle w:val="ListParagraph"/>
        <w:numPr>
          <w:ilvl w:val="0"/>
          <w:numId w:val="2"/>
        </w:numPr>
        <w:spacing w:after="60" w:line="264"/>
      </w:pPr>
      <w:r>
        <w:rPr>
          <w:rFonts w:ascii="Calibri" w:cs="Calibri" w:eastAsia="Calibri" w:hAnsi="Calibri"/>
          <w:color w:val="1F2A2E"/>
          <w:sz w:val="22"/>
          <w:szCs w:val="22"/>
        </w:rPr>
        <w:t xml:space="preserve">b) Die Regel S → aSa enthält auf der rechten Seite wieder S (</w:t>
      </w:r>
      <w:r>
        <w:rPr>
          <w:rFonts w:ascii="Calibri" w:cs="Calibri" w:eastAsia="Calibri" w:hAnsi="Calibri"/>
          <w:b/>
          <w:bCs/>
          <w:color w:val="1F2A2E"/>
          <w:sz w:val="22"/>
          <w:szCs w:val="22"/>
        </w:rPr>
        <w:t xml:space="preserve">Rekursion</w:t>
      </w:r>
      <w:r>
        <w:rPr>
          <w:rFonts w:ascii="Calibri" w:cs="Calibri" w:eastAsia="Calibri" w:hAnsi="Calibri"/>
          <w:color w:val="1F2A2E"/>
          <w:sz w:val="22"/>
          <w:szCs w:val="22"/>
        </w:rPr>
        <w:t xml:space="preserve">). Sie kann beliebig oft angewendet werden; jede Anwendung verlängert das Wort um zwei a. Die Regel S → b beendet die Ableitung. So entstehen aus zwei Regeln unendlich viele Wörter.</w:t>
      </w:r>
    </w:p>
    <w:p>
      <w:pPr>
        <w:pStyle w:val="ListParagraph"/>
        <w:numPr>
          <w:ilvl w:val="0"/>
          <w:numId w:val="2"/>
        </w:numPr>
        <w:spacing w:after="60" w:line="264"/>
      </w:pPr>
      <w:r>
        <w:rPr>
          <w:rFonts w:ascii="Calibri" w:cs="Calibri" w:eastAsia="Calibri" w:hAnsi="Calibri"/>
          <w:color w:val="1F2A2E"/>
          <w:sz w:val="22"/>
          <w:szCs w:val="22"/>
        </w:rPr>
        <w:t xml:space="preserve">c) z. B. S → aT | bT | ε,  T → aS | bS  (S: bisher gerade Länge, T: ungerade). Ableitung: S ⇒ aT ⇒ abS ⇒ abbT ⇒ abbaS ⇒ abba. Alternative: S → aaS | abS | baS | bbS | ε.</w:t>
      </w:r>
    </w:p>
    <w:p>
      <w:pPr>
        <w:keepNext/>
        <w:spacing w:after="20" w:before="60"/>
        <w:jc w:val="center"/>
      </w:pPr>
      <w:r>
        <w:drawing>
          <wp:inline distT="0" distB="0" distL="0" distR="0">
            <wp:extent cx="1514475" cy="1304925"/>
            <wp:effectExtent t="0" r="0" b="0" l="0"/>
            <wp:docPr id="1" name="baum_g5.png" descr="Ableitungsbaum zu aabaa (G5): Die Rekursion ist als „Schachtelung“ sichtbar." title="Ableitungsbaum zu aabaa (G5): Die Rekursion ist als „Schachtelung“ sichtb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514475" cy="1304925"/>
                    </a:xfrm>
                    <a:prstGeom prst="rect">
                      <a:avLst/>
                    </a:prstGeom>
                  </pic:spPr>
                </pic:pic>
              </a:graphicData>
            </a:graphic>
          </wp:inline>
        </w:drawing>
      </w:r>
    </w:p>
    <w:p>
      <w:pPr>
        <w:spacing w:after="140" w:before="0" w:line="276"/>
        <w:jc w:val="center"/>
      </w:pPr>
      <w:r>
        <w:rPr>
          <w:rFonts w:ascii="Calibri" w:cs="Calibri" w:eastAsia="Calibri" w:hAnsi="Calibri"/>
          <w:i/>
          <w:iCs/>
          <w:color w:val="5B6770"/>
          <w:sz w:val="18"/>
          <w:szCs w:val="18"/>
        </w:rPr>
        <w:t xml:space="preserve">Ableitungsbaum zu aabaa (G5): Die Rekursion ist als „Schachtelung“ sichtbar.</w:t>
      </w:r>
    </w:p>
    <w:p>
      <w:pPr>
        <w:keepNext/>
        <w:spacing w:after="100" w:before="260"/>
      </w:pPr>
      <w:r>
        <w:rPr>
          <w:rFonts w:ascii="Cambria" w:cs="Cambria" w:eastAsia="Cambria" w:hAnsi="Cambria"/>
          <w:b/>
          <w:bCs/>
          <w:color w:val="0E6455"/>
          <w:sz w:val="27"/>
          <w:szCs w:val="27"/>
        </w:rPr>
        <w:t xml:space="preserve">Typische Schwierigkeiten</w:t>
      </w:r>
    </w:p>
    <w:tbl>
      <w:tblPr>
        <w:tblW w:type="dxa" w:w="9866"/>
        <w:tblBorders>
          <w:top w:val="single" w:color="F7E3E3" w:sz="6"/>
          <w:left w:val="single" w:color="F7E3E3" w:sz="6"/>
          <w:bottom w:val="single" w:color="F7E3E3" w:sz="6"/>
          <w:right w:val="single" w:color="F7E3E3" w:sz="6"/>
          <w:insideH w:val="none" w:color="FFFFFF" w:sz="0"/>
          <w:insideV w:val="none" w:color="FFFFFF" w:sz="0"/>
        </w:tblBorders>
        <w:tblLayout w:type="fixed"/>
      </w:tblPr>
      <w:tblGrid>
        <w:gridCol w:w="9866"/>
      </w:tblGrid>
      <w:tr>
        <w:trPr>
          <w:cantSplit/>
        </w:trPr>
        <w:tc>
          <w:tcPr>
            <w:tcW w:type="dxa" w:w="9866"/>
            <w:shd w:fill="F7E3E3" w:color="auto" w:val="clear"/>
            <w:tcMar>
              <w:top w:type="dxa" w:w="120"/>
              <w:left w:type="dxa" w:w="200"/>
              <w:bottom w:type="dxa" w:w="100"/>
              <w:right w:type="dxa" w:w="200"/>
            </w:tcMar>
            <w:vAlign w:val="top"/>
          </w:tcPr>
          <w:p>
            <w:pPr>
              <w:keepNext/>
              <w:spacing w:after="80"/>
            </w:pPr>
            <w:r>
              <w:rPr>
                <w:rFonts w:ascii="Cambria" w:cs="Cambria" w:eastAsia="Cambria" w:hAnsi="Cambria"/>
                <w:b/>
                <w:bCs/>
                <w:color w:val="A83232"/>
                <w:sz w:val="23"/>
                <w:szCs w:val="23"/>
              </w:rPr>
              <w:t xml:space="preserve">Darauf achten</w:t>
            </w:r>
          </w:p>
          <w:p>
            <w:pPr>
              <w:pStyle w:val="ListParagraph"/>
              <w:numPr>
                <w:ilvl w:val="0"/>
                <w:numId w:val="2"/>
              </w:numPr>
              <w:spacing w:after="60" w:line="264"/>
            </w:pPr>
            <w:r>
              <w:rPr>
                <w:rFonts w:ascii="Calibri" w:cs="Calibri" w:eastAsia="Calibri" w:hAnsi="Calibri"/>
                <w:b/>
                <w:bCs/>
                <w:color w:val="1F2A2E"/>
                <w:sz w:val="22"/>
                <w:szCs w:val="22"/>
              </w:rPr>
              <w:t xml:space="preserve">→ und ⇒ verwechselt:</w:t>
            </w:r>
            <w:r>
              <w:rPr>
                <w:rFonts w:ascii="Calibri" w:cs="Calibri" w:eastAsia="Calibri" w:hAnsi="Calibri"/>
                <w:color w:val="1F2A2E"/>
                <w:sz w:val="22"/>
                <w:szCs w:val="22"/>
              </w:rPr>
              <w:t xml:space="preserve"> → steht in Regeln, ⇒ verbindet Satzformen in einer Ableitung.</w:t>
            </w:r>
          </w:p>
          <w:p>
            <w:pPr>
              <w:pStyle w:val="ListParagraph"/>
              <w:numPr>
                <w:ilvl w:val="0"/>
                <w:numId w:val="2"/>
              </w:numPr>
              <w:spacing w:after="60" w:line="264"/>
            </w:pPr>
            <w:r>
              <w:rPr>
                <w:rFonts w:ascii="Calibri" w:cs="Calibri" w:eastAsia="Calibri" w:hAnsi="Calibri"/>
                <w:b/>
                <w:bCs/>
                <w:color w:val="1F2A2E"/>
                <w:sz w:val="22"/>
                <w:szCs w:val="22"/>
              </w:rPr>
              <w:t xml:space="preserve">Mehrere Ersetzungen in einem Schritt:</w:t>
            </w:r>
            <w:r>
              <w:rPr>
                <w:rFonts w:ascii="Calibri" w:cs="Calibri" w:eastAsia="Calibri" w:hAnsi="Calibri"/>
                <w:color w:val="1F2A2E"/>
                <w:sz w:val="22"/>
                <w:szCs w:val="22"/>
              </w:rPr>
              <w:t xml:space="preserve"> Im Abitur wird pro Schritt ein Nichtterminal ersetzt. Ableitungen „abkürzen“ führt zu Punktverlust.</w:t>
            </w:r>
          </w:p>
          <w:p>
            <w:pPr>
              <w:pStyle w:val="ListParagraph"/>
              <w:numPr>
                <w:ilvl w:val="0"/>
                <w:numId w:val="2"/>
              </w:numPr>
              <w:spacing w:after="60" w:line="264"/>
            </w:pPr>
            <w:r>
              <w:rPr>
                <w:rFonts w:ascii="Calibri" w:cs="Calibri" w:eastAsia="Calibri" w:hAnsi="Calibri"/>
                <w:b/>
                <w:bCs/>
                <w:color w:val="1F2A2E"/>
                <w:sz w:val="22"/>
                <w:szCs w:val="22"/>
              </w:rPr>
              <w:t xml:space="preserve">Ableitung bricht zu früh ab:</w:t>
            </w:r>
            <w:r>
              <w:rPr>
                <w:rFonts w:ascii="Calibri" w:cs="Calibri" w:eastAsia="Calibri" w:hAnsi="Calibri"/>
                <w:color w:val="1F2A2E"/>
                <w:sz w:val="22"/>
                <w:szCs w:val="22"/>
              </w:rPr>
              <w:t xml:space="preserve"> Eine Ableitung ist erst fertig, wenn nur noch Terminalsymbole übrig sind („Die Ziege trinkt Wasser Punkt“ ist kein Wort der Sprache).</w:t>
            </w:r>
          </w:p>
          <w:p>
            <w:pPr>
              <w:pStyle w:val="ListParagraph"/>
              <w:numPr>
                <w:ilvl w:val="0"/>
                <w:numId w:val="2"/>
              </w:numPr>
              <w:spacing w:after="60" w:line="264"/>
            </w:pPr>
            <w:r>
              <w:rPr>
                <w:rFonts w:ascii="Calibri" w:cs="Calibri" w:eastAsia="Calibri" w:hAnsi="Calibri"/>
                <w:b/>
                <w:bCs/>
                <w:color w:val="1F2A2E"/>
                <w:sz w:val="22"/>
                <w:szCs w:val="22"/>
              </w:rPr>
              <w:t xml:space="preserve">„Nicht ableitbar“ ohne Begründung:</w:t>
            </w:r>
            <w:r>
              <w:rPr>
                <w:rFonts w:ascii="Calibri" w:cs="Calibri" w:eastAsia="Calibri" w:hAnsi="Calibri"/>
                <w:color w:val="1F2A2E"/>
                <w:sz w:val="22"/>
                <w:szCs w:val="22"/>
              </w:rPr>
              <w:t xml:space="preserve"> Beim Untersuchen muss gezeigt werden, </w:t>
            </w:r>
            <w:r>
              <w:rPr>
                <w:rFonts w:ascii="Calibri" w:cs="Calibri" w:eastAsia="Calibri" w:hAnsi="Calibri"/>
                <w:i/>
                <w:iCs/>
                <w:color w:val="1F2A2E"/>
                <w:sz w:val="22"/>
                <w:szCs w:val="22"/>
              </w:rPr>
              <w:t xml:space="preserve">welche</w:t>
            </w:r>
            <w:r>
              <w:rPr>
                <w:rFonts w:ascii="Calibri" w:cs="Calibri" w:eastAsia="Calibri" w:hAnsi="Calibri"/>
                <w:color w:val="1F2A2E"/>
                <w:sz w:val="22"/>
                <w:szCs w:val="22"/>
              </w:rPr>
              <w:t xml:space="preserve"> Regel fehlt bzw. warum keine Ableitung existiert (Aufgabe 4c).</w:t>
            </w:r>
          </w:p>
          <w:p>
            <w:pPr>
              <w:pStyle w:val="ListParagraph"/>
              <w:numPr>
                <w:ilvl w:val="0"/>
                <w:numId w:val="2"/>
              </w:numPr>
              <w:spacing w:after="60" w:line="264"/>
            </w:pPr>
            <w:r>
              <w:rPr>
                <w:rFonts w:ascii="Calibri" w:cs="Calibri" w:eastAsia="Calibri" w:hAnsi="Calibri"/>
                <w:b/>
                <w:bCs/>
                <w:color w:val="1F2A2E"/>
                <w:sz w:val="22"/>
                <w:szCs w:val="22"/>
              </w:rPr>
              <w:t xml:space="preserve">Syntax vs. Semantik:</w:t>
            </w:r>
            <w:r>
              <w:rPr>
                <w:rFonts w:ascii="Calibri" w:cs="Calibri" w:eastAsia="Calibri" w:hAnsi="Calibri"/>
                <w:color w:val="1F2A2E"/>
                <w:sz w:val="22"/>
                <w:szCs w:val="22"/>
              </w:rPr>
              <w:t xml:space="preserve"> SuS wollen „unsinnige“ Sätze per Grammatik verbieten – Grammatiken regeln die Form, nicht die Bedeutung.</w:t>
            </w:r>
          </w:p>
        </w:tc>
      </w:tr>
    </w:tbl>
    <w:p>
      <w:pPr>
        <w:spacing w:after="140" w:before="0"/>
      </w:pPr>
    </w:p>
    <w:p>
      <w:pPr>
        <w:keepNext/>
        <w:spacing w:after="100" w:before="260"/>
      </w:pPr>
      <w:r>
        <w:rPr>
          <w:rFonts w:ascii="Cambria" w:cs="Cambria" w:eastAsia="Cambria" w:hAnsi="Cambria"/>
          <w:b/>
          <w:bCs/>
          <w:color w:val="0E6455"/>
          <w:sz w:val="27"/>
          <w:szCs w:val="27"/>
        </w:rPr>
        <w:t xml:space="preserve">Differenzierung</w:t>
      </w:r>
    </w:p>
    <w:p>
      <w:pPr>
        <w:pStyle w:val="ListParagraph"/>
        <w:numPr>
          <w:ilvl w:val="0"/>
          <w:numId w:val="2"/>
        </w:numPr>
        <w:spacing w:after="60" w:line="264"/>
      </w:pPr>
      <w:r>
        <w:rPr>
          <w:rFonts w:ascii="Calibri" w:cs="Calibri" w:eastAsia="Calibri" w:hAnsi="Calibri"/>
          <w:b/>
          <w:bCs/>
          <w:color w:val="1F2A2E"/>
          <w:sz w:val="22"/>
          <w:szCs w:val="22"/>
        </w:rPr>
        <w:t xml:space="preserve">Basis:</w:t>
      </w:r>
      <w:r>
        <w:rPr>
          <w:rFonts w:ascii="Calibri" w:cs="Calibri" w:eastAsia="Calibri" w:hAnsi="Calibri"/>
          <w:color w:val="1F2A2E"/>
          <w:sz w:val="22"/>
          <w:szCs w:val="22"/>
        </w:rPr>
        <w:t xml:space="preserve"> Aufgaben 1 und 2; Hilfe: Satzbauplan auf den Wortkarten vorlegen und jede Karte einem Nichtterminal zuordnen.</w:t>
      </w:r>
    </w:p>
    <w:p>
      <w:pPr>
        <w:pStyle w:val="ListParagraph"/>
        <w:numPr>
          <w:ilvl w:val="0"/>
          <w:numId w:val="2"/>
        </w:numPr>
        <w:spacing w:after="60" w:line="264"/>
      </w:pPr>
      <w:r>
        <w:rPr>
          <w:rFonts w:ascii="Calibri" w:cs="Calibri" w:eastAsia="Calibri" w:hAnsi="Calibri"/>
          <w:b/>
          <w:bCs/>
          <w:color w:val="1F2A2E"/>
          <w:sz w:val="22"/>
          <w:szCs w:val="22"/>
        </w:rPr>
        <w:t xml:space="preserve">Standard:</w:t>
      </w:r>
      <w:r>
        <w:rPr>
          <w:rFonts w:ascii="Calibri" w:cs="Calibri" w:eastAsia="Calibri" w:hAnsi="Calibri"/>
          <w:color w:val="1F2A2E"/>
          <w:sz w:val="22"/>
          <w:szCs w:val="22"/>
        </w:rPr>
        <w:t xml:space="preserve"> Aufgaben 1–4.</w:t>
      </w:r>
    </w:p>
    <w:p>
      <w:pPr>
        <w:pStyle w:val="ListParagraph"/>
        <w:numPr>
          <w:ilvl w:val="0"/>
          <w:numId w:val="2"/>
        </w:numPr>
        <w:spacing w:after="60" w:line="264"/>
      </w:pPr>
      <w:r>
        <w:rPr>
          <w:rFonts w:ascii="Calibri" w:cs="Calibri" w:eastAsia="Calibri" w:hAnsi="Calibri"/>
          <w:b/>
          <w:bCs/>
          <w:color w:val="1F2A2E"/>
          <w:sz w:val="22"/>
          <w:szCs w:val="22"/>
        </w:rPr>
        <w:t xml:space="preserve">Profi:</w:t>
      </w:r>
      <w:r>
        <w:rPr>
          <w:rFonts w:ascii="Calibri" w:cs="Calibri" w:eastAsia="Calibri" w:hAnsi="Calibri"/>
          <w:color w:val="1F2A2E"/>
          <w:sz w:val="22"/>
          <w:szCs w:val="22"/>
        </w:rPr>
        <w:t xml:space="preserve"> Aufgabe 5; Zusatz: Grammatik G1 so erweitern, dass auch „Möhren frisst das Schaf.“ entsteht (Problem: Großschreibung am Satzanfang – Terminalalphabet erweitern).</w:t>
      </w:r>
    </w:p>
    <w:p>
      <w:pPr>
        <w:pStyle w:val="ListParagraph"/>
        <w:numPr>
          <w:ilvl w:val="0"/>
          <w:numId w:val="2"/>
        </w:numPr>
        <w:spacing w:after="60" w:line="264"/>
      </w:pPr>
      <w:r>
        <w:rPr>
          <w:rFonts w:ascii="Calibri" w:cs="Calibri" w:eastAsia="Calibri" w:hAnsi="Calibri"/>
          <w:color w:val="1F2A2E"/>
          <w:sz w:val="22"/>
          <w:szCs w:val="22"/>
        </w:rPr>
        <w:t xml:space="preserve">Für Schnelle: Ableitungs-Rallye Aufgaben 1–4, dann Aufgabe 2 (aⁿbⁿ) als Vorgriff auf Level 13.</w:t>
      </w:r>
    </w:p>
    <w:p>
      <w:pPr>
        <w:keepNext/>
        <w:spacing w:after="100" w:before="260"/>
      </w:pPr>
      <w:r>
        <w:rPr>
          <w:rFonts w:ascii="Cambria" w:cs="Cambria" w:eastAsia="Cambria" w:hAnsi="Cambria"/>
          <w:b/>
          <w:bCs/>
          <w:color w:val="0E6455"/>
          <w:sz w:val="27"/>
          <w:szCs w:val="27"/>
        </w:rPr>
        <w:t xml:space="preserve">Hausaufgabe</w:t>
      </w:r>
    </w:p>
    <w:p>
      <w:pPr>
        <w:spacing w:after="100" w:before="0" w:line="276"/>
        <w:jc w:val="left"/>
      </w:pPr>
      <w:r>
        <w:rPr>
          <w:rFonts w:ascii="Calibri" w:cs="Calibri" w:eastAsia="Calibri" w:hAnsi="Calibri"/>
          <w:color w:val="1F2A2E"/>
          <w:sz w:val="22"/>
          <w:szCs w:val="22"/>
        </w:rPr>
        <w:t xml:space="preserve">AB11 Aufgabe 5 (falls noch nicht bearbeitet) und Ableitungs-Rallye Aufgaben 1–4. Zusätzlich: Finde einen mehrdeutigen deutschen Satz (z. B. aus Werbung oder Schlagzeilen) und erläutere seine zwei Bedeutungen.</w:t>
      </w:r>
    </w:p>
    <w:sectPr>
      <w:headerReference w:type="default" r:id="rId7"/>
      <w:footerReference w:type="default" r:id="rId8"/>
      <w:pgSz w:w="11906" w:h="16838" w:orient="portrait"/>
      <w:pgMar w:top="900" w:right="1020" w:bottom="900" w:left="1020" w:header="450" w:footer="45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866"/>
      </w:tabs>
    </w:pPr>
    <w:r>
      <w:rPr>
        <w:rFonts w:ascii="Calibri" w:cs="Calibri" w:eastAsia="Calibri" w:hAnsi="Calibri"/>
        <w:color w:val="5B6770"/>
        <w:sz w:val="16"/>
        <w:szCs w:val="16"/>
      </w:rPr>
      <w:t xml:space="preserve">Max-Planck-Gymnasium Delmenhorst  ·  DS11 · Lehrkraft-Handreichung</w:t>
    </w:r>
    <w:r>
      <w:rPr>
        <w:rFonts w:ascii="Calibri" w:cs="Calibri" w:eastAsia="Calibri" w:hAnsi="Calibri"/>
        <w:color w:val="5B6770"/>
        <w:sz w:val="16"/>
        <w:szCs w:val="16"/>
      </w:rPr>
      <w:t xml:space="preserve">	Seite </w:t>
      <w:fldChar w:fldCharType="begin"/>
      <w:instrText xml:space="preserve">PAGE</w:instrText>
      <w:fldChar w:fldCharType="separate"/>
      <w:fldChar w:fldCharType="end"/>
      <w:t xml:space="preserve"> von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866"/>
      </w:tabs>
    </w:pPr>
    <w:r>
      <w:rPr>
        <w:rFonts w:ascii="Calibri" w:cs="Calibri" w:eastAsia="Calibri" w:hAnsi="Calibri"/>
        <w:color w:val="5B6770"/>
        <w:sz w:val="16"/>
        <w:szCs w:val="16"/>
      </w:rPr>
      <w:t xml:space="preserve">Maschinen, die Sprache verstehen</w:t>
    </w:r>
    <w:r>
      <w:rPr>
        <w:rFonts w:ascii="Calibri" w:cs="Calibri" w:eastAsia="Calibri" w:hAnsi="Calibri"/>
        <w:color w:val="5B6770"/>
        <w:sz w:val="16"/>
        <w:szCs w:val="16"/>
      </w:rPr>
      <w:t xml:space="preserve">	Informatik eA (Leistungskurs) · Automaten &amp; formale Sprachen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rPr>
        <w:color w:val="0E6455"/>
      </w:rPr>
    </w:lvl>
    <w:lvl w:ilvl="1" w15:tentative="1">
      <w:start w:val="1"/>
      <w:numFmt w:val="bullet"/>
      <w:lvlText w:val="–"/>
      <w:lvlJc w:val="left"/>
      <w:pPr>
        <w:ind w:left="800" w:hanging="260"/>
      </w:pPr>
      <w:rPr>
        <w:color w:val="5B6770"/>
      </w:rPr>
    </w:lvl>
  </w:abstractNum>
  <w:abstractNum w:abstractNumId="3" w15:restartNumberingAfterBreak="0">
    <w:multiLevelType w:val="hybridMultilevel"/>
    <w:lvl w:ilvl="0" w15:tentative="1">
      <w:start w:val="1"/>
      <w:numFmt w:val="decimal"/>
      <w:lvlText w:val="%1."/>
      <w:lvlJc w:val="left"/>
      <w:pPr>
        <w:ind w:left="420" w:hanging="320"/>
      </w:pPr>
      <w:rPr>
        <w:b/>
        <w:bCs/>
        <w:color w:val="0E6455"/>
      </w:rPr>
    </w:lvl>
  </w:abstractNum>
  <w:abstractNum w:abstractNumId="4" w15:restartNumberingAfterBreak="0">
    <w:multiLevelType w:val="hybridMultilevel"/>
    <w:lvl w:ilvl="0" w15:tentative="1">
      <w:start w:val="1"/>
      <w:numFmt w:val="decimal"/>
      <w:lvlText w:val="%1."/>
      <w:lvlJc w:val="left"/>
      <w:pPr>
        <w:ind w:left="420" w:hanging="320"/>
      </w:pPr>
      <w:rPr>
        <w:b/>
        <w:bCs/>
        <w:color w:val="0E6455"/>
      </w:rPr>
    </w:lvl>
  </w:abstractNum>
  <w:abstractNum w:abstractNumId="5" w15:restartNumberingAfterBreak="0">
    <w:multiLevelType w:val="hybridMultilevel"/>
    <w:lvl w:ilvl="0" w15:tentative="1">
      <w:start w:val="1"/>
      <w:numFmt w:val="decimal"/>
      <w:lvlText w:val="%1."/>
      <w:lvlJc w:val="left"/>
      <w:pPr>
        <w:ind w:left="420" w:hanging="320"/>
      </w:pPr>
      <w:rPr>
        <w:b/>
        <w:bCs/>
        <w:color w:val="0E6455"/>
      </w:rPr>
    </w:lvl>
  </w:abstractNum>
  <w:abstractNum w:abstractNumId="6" w15:restartNumberingAfterBreak="0">
    <w:multiLevelType w:val="hybridMultilevel"/>
    <w:lvl w:ilvl="0" w15:tentative="1">
      <w:start w:val="1"/>
      <w:numFmt w:val="decimal"/>
      <w:lvlText w:val="%1."/>
      <w:lvlJc w:val="left"/>
      <w:pPr>
        <w:ind w:left="420" w:hanging="320"/>
      </w:pPr>
      <w:rPr>
        <w:b/>
        <w:bCs/>
        <w:color w:val="0E6455"/>
      </w:rPr>
    </w:lvl>
  </w:abstractNum>
  <w:abstractNum w:abstractNumId="7" w15:restartNumberingAfterBreak="0">
    <w:multiLevelType w:val="hybridMultilevel"/>
    <w:lvl w:ilvl="0" w15:tentative="1">
      <w:start w:val="1"/>
      <w:numFmt w:val="decimal"/>
      <w:lvlText w:val="%1."/>
      <w:lvlJc w:val="left"/>
      <w:pPr>
        <w:ind w:left="420" w:hanging="320"/>
      </w:pPr>
      <w:rPr>
        <w:b/>
        <w:bCs/>
        <w:color w:val="0E6455"/>
      </w:rPr>
    </w:lvl>
  </w:abstractNum>
  <w:abstractNum w:abstractNumId="8" w15:restartNumberingAfterBreak="0">
    <w:multiLevelType w:val="hybridMultilevel"/>
    <w:lvl w:ilvl="0" w15:tentative="1">
      <w:start w:val="1"/>
      <w:numFmt w:val="decimal"/>
      <w:lvlText w:val="%1."/>
      <w:lvlJc w:val="left"/>
      <w:pPr>
        <w:ind w:left="420" w:hanging="320"/>
      </w:pPr>
      <w:rPr>
        <w:b/>
        <w:bCs/>
        <w:color w:val="0E6455"/>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34fe20ea516a2a552b65df0216d476cf22cc0d3.png"/><Relationship Id="rId10" Type="http://schemas.openxmlformats.org/officeDocument/2006/relationships/image" Target="media/9fa8ddc4f401f35e08b013bf69e00f4bcca7e839.png"/><Relationship Id="rId11" Type="http://schemas.openxmlformats.org/officeDocument/2006/relationships/image" Target="media/8b11e0a95f89047bdb75c8b452a689dc51140060.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Sprache – natürlich oder formal?</dc:title>
  <dc:creator>Frank Juchim</dc:creator>
  <dc:description>Informatik gA/eA – Automaten und formale Sprachen</dc:description>
  <cp:lastModifiedBy>Un-named</cp:lastModifiedBy>
  <cp:revision>1</cp:revision>
  <dcterms:created xsi:type="dcterms:W3CDTF">2026-10-12T09:28:37.917Z</dcterms:created>
  <dcterms:modified xsi:type="dcterms:W3CDTF">2026-10-12T09:28:37.917Z</dcterms:modified>
</cp:coreProperties>
</file>

<file path=docProps/custom.xml><?xml version="1.0" encoding="utf-8"?>
<Properties xmlns="http://schemas.openxmlformats.org/officeDocument/2006/custom-properties" xmlns:vt="http://schemas.openxmlformats.org/officeDocument/2006/docPropsVTypes"/>
</file>