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M09  ·  Welt C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Reguläre Grammatik und Automat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M09 · Level 12 · Übersetzungsrezept in beide Richtungen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Rechtsreguläre Grammatik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Eine Grammatik ist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rechtsregulär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(im Abitur: </w:t>
      </w:r>
      <w:r>
        <w:rPr>
          <w:rFonts w:ascii="Calibri" w:cs="Calibri" w:eastAsia="Calibri" w:hAnsi="Calibri"/>
          <w:i/>
          <w:iCs/>
          <w:color w:val="1F2A2E"/>
          <w:sz w:val="21"/>
          <w:szCs w:val="21"/>
        </w:rPr>
        <w:t xml:space="preserve">regulär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), wenn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jede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Regel eine der Formen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aB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a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oder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A → ε</w:t>
      </w:r>
      <w:r>
        <w:rPr>
          <w:rFonts w:ascii="Calibri" w:cs="Calibri" w:eastAsia="Calibri" w:hAnsi="Calibri"/>
          <w:color w:val="1F2A2E"/>
          <w:sz w:val="21"/>
          <w:szCs w:val="21"/>
        </w:rPr>
        <w:t xml:space="preserve"> hat (a Terminalsymbol, B Nichtterminal).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1701"/>
        <w:gridCol w:w="5670"/>
      </w:tblGrid>
      <w:tr>
        <w:trPr>
          <w:cantSplit/>
          <w:tblHeader/>
        </w:trPr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Regel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rechtsregulär?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Grund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aS  |  bA  |  ε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ja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genau ein Terminal, ggf. gefolgt von genau einem Nichtterminal – oder ε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aSb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Nichtterminal in der Mitte (Terminal rechts davon)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 → Sa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Nichtterminal links vom Terminal (linksregulär)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+xA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Terminale vor dem Nichtterminal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→ BC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nein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Nichtterminale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Übersetzungsrezept: vom DEA zur Grammatik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783"/>
        <w:gridCol w:w="4083"/>
      </w:tblGrid>
      <w:tr>
        <w:trPr>
          <w:cantSplit/>
        </w:trPr>
        <w:tc>
          <w:tcPr>
            <w:tcW w:type="dxa" w:w="5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Zustand wird ein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Nichtterminal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(gleicher Name), der Startzustand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Startsymbol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Übergang Si –a→ Sj wird die Regel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Si → aSj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Jeder Endzustand Si bekommt zusätzlich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Si → ε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Fehlerzustand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entfällt (keine Regeln).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N, T (= Σ), Startsymbol und Produktionsregeln angeben.</w:t>
            </w:r>
          </w:p>
        </w:tc>
        <w:tc>
          <w:tcPr>
            <w:tcW w:type="dxa" w:w="4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447925" cy="742950"/>
                  <wp:effectExtent t="0" r="0" b="0" l="0"/>
                  <wp:docPr id="1" name="duell.png" descr="Σ = {a, b}. Alle nicht eingezeichneten Übergänge führen in einen Fehlerzustand." title="Σ = {a, b}. Alle nicht eingezeichneten Übergänge führen in einen Fehlerzustand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Σ = {a, b}. Alle nicht eingezeichneten Übergänge führen in einen Fehlerzustand.</w:t>
            </w:r>
          </w:p>
          <w:tbl>
            <w:tblPr>
              <w:tblW w:type="dxa" w:w="3856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856"/>
            </w:tblGrid>
            <w:tr>
              <w:trPr>
                <w:cantSplit/>
              </w:trPr>
              <w:tc>
                <w:tcPr>
                  <w:tcW w:type="dxa" w:w="3856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S0 → aS1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S1 → aS1 | bS2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0"/>
                      <w:szCs w:val="20"/>
                    </w:rPr>
                    <w:t xml:space="preserve">S2 → aS1 | bS2 | ε</w:t>
                  </w:r>
                </w:p>
              </w:tc>
            </w:tr>
          </w:tbl>
          <w:p>
            <w:pPr>
              <w:spacing w:after="120" w:before="0"/>
            </w:pPr>
          </w:p>
        </w:tc>
      </w:tr>
    </w:tbl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Ableitung = Lauf: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S0 ⇒ aS1 ⇒ abS2 ⇒ abaS1 ⇒ ababS2 ⇒ abab entspricht S0 –a→ S1 –b→ S2 –a→ S1 –b→ S2. Das Nichtterminal am Ende jeder Satzform ist der aktuelle Zustand.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Rückweg: von der Grammatik über den NEA zum DEA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Jedes Nichtterminal wird ein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das Startsymbol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Startzustand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aB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wird der Übergang A –a→ B; 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ε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macht A zum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 → 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wird ein Übergang A –a→ Z in einen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neuen Endzustand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Z (ohne ausgehende Übergänge).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Gibt es aus einem Zustand zwei Übergänge mit demselben Zeichen, ist das Ergebnis ein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NEA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→ mit der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Teilmengenkonstruktion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in einen DEA umwandeln.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89"/>
        <w:gridCol w:w="6577"/>
      </w:tblGrid>
      <w:tr>
        <w:trPr>
          <w:cantSplit/>
        </w:trPr>
        <w:tc>
          <w:tcPr>
            <w:tcW w:type="dxa" w:w="3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</w:tcPr>
          <w:tbl>
            <w:tblPr>
              <w:tblW w:type="dxa" w:w="3062"/>
              <w:tblBorders>
                <w:top w:val="single" w:color="C9D3D6" w:sz="6"/>
                <w:left w:val="single" w:color="C9D3D6" w:sz="6"/>
                <w:bottom w:val="single" w:color="C9D3D6" w:sz="6"/>
                <w:right w:val="single" w:color="C9D3D6" w:sz="6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062"/>
            </w:tblGrid>
            <w:tr>
              <w:trPr>
                <w:cantSplit/>
              </w:trPr>
              <w:tc>
                <w:tcPr>
                  <w:tcW w:type="dxa" w:w="3062"/>
                  <w:shd w:fill="F6F8F8" w:color="auto" w:val="clear"/>
                  <w:tcMar>
                    <w:top w:type="dxa" w:w="120"/>
                    <w:left w:type="dxa" w:w="200"/>
                    <w:bottom w:type="dxa" w:w="100"/>
                    <w:right w:type="dxa" w:w="200"/>
                  </w:tcMar>
                  <w:vAlign w:val="top"/>
                </w:tcPr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N = {S, A}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T = {a, b}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Startsymbol: S</w:t>
                  </w:r>
                </w:p>
                <w:p>
                  <w:pPr>
                    <w:spacing w:after="30" w:before="0" w:line="276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Produktionsregeln: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S → aS | bS | aA</w:t>
                  </w:r>
                </w:p>
                <w:p>
                  <w:pPr>
                    <w:spacing w:after="30" w:before="0" w:line="276"/>
                    <w:ind w:left="280"/>
                    <w:jc w:val="left"/>
                  </w:pPr>
                  <w:r>
                    <w:rPr>
                      <w:rFonts w:ascii="Calibri" w:cs="Calibri" w:eastAsia="Calibri" w:hAnsi="Calibri"/>
                      <w:color w:val="1F2A2E"/>
                      <w:sz w:val="21"/>
                      <w:szCs w:val="21"/>
                    </w:rPr>
                    <w:t xml:space="preserve">A → b</w:t>
                  </w:r>
                </w:p>
              </w:tc>
            </w:tr>
          </w:tbl>
          <w:p>
            <w:pPr>
              <w:spacing w:after="120" w:before="0"/>
            </w:pPr>
          </w:p>
          <w:p>
            <w:pPr>
              <w:spacing w:after="100" w:before="0" w:line="276"/>
              <w:jc w:val="center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alle Wörter, die auf ab enden</w:t>
            </w:r>
          </w:p>
        </w:tc>
        <w:tc>
          <w:tcPr>
            <w:tcW w:type="dxa" w:w="65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80"/>
              <w:bottom w:type="dxa" w:w="0"/>
              <w:right w:type="dxa" w:w="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524125" cy="733425"/>
                  <wp:effectExtent t="0" r="0" b="0" l="0"/>
                  <wp:docPr id="1" name="endet_ab_nea.png" descr="NEA nach Rezept (aus S zwei a-Übergänge)" title="NEA nach Rezept (aus S zwei a-Übergänge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NEA nach Rezept (aus S zwei a-Übergänge)</w:t>
            </w:r>
          </w:p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3019425" cy="1152525"/>
                  <wp:effectExtent t="0" r="0" b="0" l="0"/>
                  <wp:docPr id="1" name="endet_ab_dea.png" descr="DEA: S0 = {S}, S1 = {S, A}, S2 = {S, Z}" title="DEA: S0 = {S}, S1 = {S, A}, S2 = {S, Z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1942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DEA: S0 = {S}, S1 = {S, A}, S2 = {S, Z}</w:t>
            </w:r>
          </w:p>
        </w:tc>
      </w:tr>
    </w:tbl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Grammatik nicht regulär – Sprache regulär?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„Die Grammatik ist nicht regulär“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Eine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bestimmte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Grammatik verletzt die Regelform (Regel nennen!).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„Die Sprache ist regulär“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Es gibt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irgendeine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reguläre Grammatik bzw. einen DEA für sie → angeben.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Beispiel: A → +xA | +yA | ε ist nicht regulär, aber mit A → +B | ε, B → xA | yA entsteht eine reguläre Grammatik derselben Sprache.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Sprache nicht regulär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(z. B. {aⁿbⁿ | n ≥ 1}): </w:t>
      </w:r>
      <w:r>
        <w:rPr>
          <w:rFonts w:ascii="Calibri" w:cs="Calibri" w:eastAsia="Calibri" w:hAnsi="Calibri"/>
          <w:i/>
          <w:iCs/>
          <w:color w:val="1F2A2E"/>
          <w:sz w:val="20"/>
          <w:szCs w:val="20"/>
        </w:rPr>
        <w:t xml:space="preserve">keine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reguläre Grammatik möglich – Begründung wie bei DEA (unbeschränkt zählen, Schubfachprinzip).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 reguläre Grammatik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Erst überlegen, was man sich merken muss (wie Zustände) → Nichtterminale mit Bedeutung; dann Regeln der Form A → aB / a / ε. Mit Beispiel- und Gegenbeispielwort prüfen.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die Grammatik regulär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„Alle Regeln haben die Form A → aB, A → a oder A → ε.“ – ggf. Regeln exemplarisch nennen.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G nicht regulär, die Sprache aber regulär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Regel nennen, die die Form verletzt,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und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eine reguläre Grammatik (oder einen DEA) für dieselbe Sprache angeben.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einen DEA zur Grammatik.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Rezept anwenden; bei Nichtdeterminismus Teilmengenkonstruktion; Hinweis zum Fehlerzustand nicht vergessen.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Sie, wie sichergestellt wird, dass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Bedeutung der Nichtterminale im Sachzusammenhang („In C sind noch 3 Schläge frei“) und welche Regeln fehlen bzw. vorhanden sind.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Geben Sie eine Regel an, sodass keine reguläre Grammatik möglich ist.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Regel, die unbeschränktes Zählen oder Vergleichen verlangt („gleich viele … wie …“), kurz begründen.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ε-Regeln für Endzustände vergessen; bei A → a den neuen Endzustand vergessen.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 → Sa für regulär halten; Nichtdeterminismus nach der Übersetzung übersehen.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M09 · Merkblatt Reguläre Grammatik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1df57a6228231814841e18a3e17737a021f217.png"/><Relationship Id="rId10" Type="http://schemas.openxmlformats.org/officeDocument/2006/relationships/image" Target="media/6112b127c8f25609247113160d24186e3933e00a.png"/><Relationship Id="rId11" Type="http://schemas.openxmlformats.org/officeDocument/2006/relationships/image" Target="media/7aa8265d17437e0a11a5eebf1b1f5a13777cde4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Reguläre Grammatik und Automat</dc:title>
  <dc:creator>Frank Juchim</dc:creator>
  <dc:description>Informatik gA/eA – Automaten und formale Sprachen</dc:description>
  <cp:lastModifiedBy>Un-named</cp:lastModifiedBy>
  <cp:revision>1</cp:revision>
  <dcterms:created xsi:type="dcterms:W3CDTF">2026-10-12T09:28:42.334Z</dcterms:created>
  <dcterms:modified xsi:type="dcterms:W3CDTF">2026-10-12T09:28:42.334Z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