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Lehrkraft-Handreichung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Abi-Training  ·  Welt A–C  ·  Niveau: nur eA (Leistungskurs)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34"/>
                <w:szCs w:val="34"/>
              </w:rPr>
              <w:t xml:space="preserve">Erwartungshorizont „Smart-Home-Befehle“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Automaten und formale Sprachen · erhöhtes Anforderungsniveau · Block 2 · 135 Minuten · 45 BE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eA (Leistungskurs)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Erwartete Leistungen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680"/>
        <w:gridCol w:w="7598"/>
        <w:gridCol w:w="567"/>
        <w:gridCol w:w="1021"/>
      </w:tblGrid>
      <w:tr>
        <w:trPr>
          <w:cantSplit w:val="false"/>
          <w:tblHeader/>
        </w:trPr>
        <w:tc>
          <w:tcPr>
            <w:tcW w:type="dxa" w:w="68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Teil</w:t>
            </w:r>
          </w:p>
        </w:tc>
        <w:tc>
          <w:tcPr>
            <w:tcW w:type="dxa" w:w="759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Erwartete Leistung</w:t>
            </w:r>
          </w:p>
        </w:tc>
        <w:tc>
          <w:tcPr>
            <w:tcW w:type="dxa" w:w="56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</w:t>
            </w:r>
          </w:p>
        </w:tc>
        <w:tc>
          <w:tcPr>
            <w:tcW w:type="dxa" w:w="102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AFB</w:t>
            </w:r>
          </w:p>
        </w:tc>
      </w:tr>
      <w:tr>
        <w:trPr>
          <w:cantSplit w:val="false"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L+R--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: S0 –L→ S1 –+→ S3 –R→ S1 –-→ S3 –-→ S3 ⇒ akzeptiert (S3 ist Endzustand). (1 BE)</w:t>
            </w:r>
          </w:p>
          <w:p>
            <w:pPr>
              <w:spacing w:after="10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H+L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: S0 –H→ S2 –+→ S4 –L→ S1 ⇒ abgelehnt (S1 ist kein Endzustand; die Befehlskette endet mit einer Gerätekennung ohne Aktionszeichen). (1 BE)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Zwei akzeptierte Befehlsketten der Länge 4, z. B. </w:t>
            </w: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L+R-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H+++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R---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L-H+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(je 1 BE).</w:t>
            </w:r>
          </w:p>
        </w:tc>
        <w:tc>
          <w:tcPr>
            <w:tcW w:type="dxa" w:w="567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4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</w:t>
            </w:r>
          </w:p>
        </w:tc>
      </w:tr>
      <w:tr>
        <w:trPr>
          <w:cantSplit w:val="false"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S1: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Es wurde zuletzt die Gerätekennung L oder R gelesen; der Befehl ist noch unvollständig, es fehlt mindestens ein Aktionszeichen. (1,5 BE)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S3: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Ein vollständiger Befehl für Licht oder Rollladen wurde gelesen (Gerät + mindestens ein Aktionszeichen); die Befehlskette ist gültig und kann mit weiteren Aktionszeichen oder einem neuen Befehl fortgesetzt werden. (1,5 BE)</w:t>
            </w:r>
          </w:p>
        </w:tc>
        <w:tc>
          <w:tcPr>
            <w:tcW w:type="dxa" w:w="567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3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II</w:t>
            </w:r>
          </w:p>
        </w:tc>
      </w:tr>
      <w:tr>
        <w:trPr>
          <w:cantSplit w:val="false"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Endzustände sind nur S3 und S4. Alle Kanten, die in S3 oder S4 hineinführen, sind mit + oder - beschriftet (aus S1/S2 sowie die Schleifen in S3/S4); die Gerätekennungen L, H, R führen aus jedem Zustand nach S1 oder S2 bzw. in den Fehlerzustand – also kein Endzustand. Damit endet jede akzeptierte Eingabe mit einem Aktionszeichen. (2 BE)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Länge 3: Das erste Zeichen muss eine Gerätekennung sein (aus S0 führen nur L, H, R heraus), danach muss ein Aktionszeichen folgen; das dritte Zeichen muss nach der Begründung oben ebenfalls ein Aktionszeichen sein. Also 3 · 2 · 2 =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12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Befehlsketten (z. B. </w:t>
            </w: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L++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H+-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R--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). (2 BE)</w:t>
            </w:r>
          </w:p>
        </w:tc>
        <w:tc>
          <w:tcPr>
            <w:tcW w:type="dxa" w:w="567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4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II</w:t>
            </w:r>
          </w:p>
        </w:tc>
      </w:tr>
      <w:tr>
        <w:trPr>
          <w:cantSplit w:val="false"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Der Automat muss sich zusätzlich merken, ob H bereits vorgekommen ist. Zustände: S0 Start; S1 Gerät L/R gelesen (H noch nicht benutzt); S2 vollständiger Befehl, H noch nicht benutzt (Endzustand); S3 Gerät gelesen, H benutzt; S4 vollständiger Befehl, H benutzt (Endzustand). Aus S4 führt H in den Fehlerzustand. (Zustandsidee 2 BE, Übergänge 2 BE, Start-/Endzustände und Fehlerzustand-Hinweis 1 BE)</w:t>
            </w:r>
          </w:p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3962400" cy="2695575"/>
                  <wp:effectExtent t="0" r="0" b="0" l="0"/>
                  <wp:docPr id="1" name="klausur_AH.png" descr="Alle nicht eingezeichneten Übergänge führen in einen Fehlerzustand." title="Alle nicht eingezeichneten Übergänge führen in einen Fehlerzustand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2400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Alle nicht eingezeichneten Übergänge führen in einen Fehlerzustand.</w:t>
            </w:r>
          </w:p>
        </w:tc>
        <w:tc>
          <w:tcPr>
            <w:tcW w:type="dxa" w:w="567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5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III</w:t>
            </w:r>
          </w:p>
        </w:tc>
      </w:tr>
      <w:tr>
        <w:trPr>
          <w:cantSplit w:val="false"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Ausgabe für </w:t>
            </w: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--+---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: P3 –-/2→ P2 –-/1→ P1 –+/2→ P2 –-/1→ P1 –-/0→ P0 –-/!→ P0, also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21210!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. (2 BE)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P1: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Der Rollladen steht in Position 1 (eine Stufe über ganz unten).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Ausgabe !: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Der Befehl kann nicht ausgeführt werden, weil der Rollladen bereits am Anschlag steht (ganz oben bei +, ganz unten bei -); die Position bleibt unverändert. (2 BE)</w:t>
            </w:r>
          </w:p>
        </w:tc>
        <w:tc>
          <w:tcPr>
            <w:tcW w:type="dxa" w:w="567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4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I–II</w:t>
            </w:r>
          </w:p>
        </w:tc>
      </w:tr>
      <w:tr>
        <w:trPr>
          <w:cantSplit w:val="false"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Zustand = zuletzt genannte Gerätekennung: M0 (noch kein Gerät), ML, MH, MR. Gerätekennungen wechseln den Zustand mit Ausgabe ε; Aktionszeichen bleiben im Zustand und geben das gerätespezifische Signal aus; in M0 werden Aktionszeichen ignoriert (Ausgabe ε). Σ = {L, H, R, +, -}, Ω = {e, a, w, k, o, u}, keine Endzustände. (Zustandsidee 1 BE, Übergänge mit Ausgaben 2 BE, Vollständigkeit inkl. M0 1 BE)</w:t>
            </w:r>
          </w:p>
          <w:tbl>
            <w:tblPr>
              <w:tblW w:type="dxa" w:w="6804"/>
              <w:jc w:val="center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1134"/>
              <w:gridCol w:w="1134"/>
              <w:gridCol w:w="1134"/>
              <w:gridCol w:w="1134"/>
              <w:gridCol w:w="1134"/>
              <w:gridCol w:w="1134"/>
            </w:tblGrid>
            <w:tr>
              <w:trPr>
                <w:cantSplit/>
                <w:tblHeader/>
              </w:trPr>
              <w:tc>
                <w:tcPr>
                  <w:tcW w:type="dxa" w:w="1134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Zustand</w:t>
                  </w:r>
                </w:p>
              </w:tc>
              <w:tc>
                <w:tcPr>
                  <w:tcW w:type="dxa" w:w="1134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L</w:t>
                  </w:r>
                </w:p>
              </w:tc>
              <w:tc>
                <w:tcPr>
                  <w:tcW w:type="dxa" w:w="1134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H</w:t>
                  </w:r>
                </w:p>
              </w:tc>
              <w:tc>
                <w:tcPr>
                  <w:tcW w:type="dxa" w:w="1134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R</w:t>
                  </w:r>
                </w:p>
              </w:tc>
              <w:tc>
                <w:tcPr>
                  <w:tcW w:type="dxa" w:w="1134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+</w:t>
                  </w:r>
                </w:p>
              </w:tc>
              <w:tc>
                <w:tcPr>
                  <w:tcW w:type="dxa" w:w="1134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-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M0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ML / ε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MH / ε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MR / ε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M0 / ε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M0 / ε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ML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ML / ε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MH / ε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MR / ε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ML / e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ML / a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MH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ML / ε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MH / ε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MR / ε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MH / w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MH / k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MR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ML / ε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MH / ε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MR / ε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MR / o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MR / u</w:t>
                  </w:r>
                </w:p>
              </w:tc>
            </w:tr>
          </w:tbl>
          <w:p>
            <w:pPr>
              <w:spacing w:after="140" w:before="0"/>
            </w:pPr>
          </w:p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3419475" cy="2990850"/>
                  <wp:effectExtent t="0" r="0" b="0" l="0"/>
                  <wp:docPr id="1" name="klausur_MS.png" descr="Zustandsgraph (gleichwertig zur Tabelle; keine Endzustände)" title="Zustandsgraph (gleichwertig zur Tabelle; keine Endzuständ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9475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Zustandsgraph (gleichwertig zur Tabelle; keine Endzustände)</w:t>
            </w:r>
          </w:p>
        </w:tc>
        <w:tc>
          <w:tcPr>
            <w:tcW w:type="dxa" w:w="567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4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II</w:t>
            </w:r>
          </w:p>
        </w:tc>
      </w:tr>
      <w:tr>
        <w:trPr>
          <w:cantSplit w:val="false"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g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Jedes Kellerzeichen K steht für eine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geöffnete, noch nicht geschlossene Gruppe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(eine offene Klammer). Die Kellerhöhe ist die aktuelle Verschachtelungstiefe. Mit „(“ wird ein K abgelegt, mit „)“ eines entfernt; liegt beim Lesen von „)“ kein K oben, fehlt eine öffnende Klammer. Nur wenn am Ende ausschließlich # im Keller liegt (alle Gruppen geschlossen), ist der Übergang nach S2 möglich. (3 BE)</w:t>
            </w:r>
          </w:p>
        </w:tc>
        <w:tc>
          <w:tcPr>
            <w:tcW w:type="dxa" w:w="567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3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II</w:t>
            </w:r>
          </w:p>
        </w:tc>
      </w:tr>
      <w:tr>
        <w:trPr>
          <w:cantSplit w:val="false"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h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tbl>
            <w:tblPr>
              <w:tblW w:type="dxa" w:w="6918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1021"/>
              <w:gridCol w:w="1928"/>
              <w:gridCol w:w="1814"/>
              <w:gridCol w:w="2155"/>
            </w:tblGrid>
            <w:tr>
              <w:trPr>
                <w:cantSplit/>
                <w:tblHeader/>
              </w:trPr>
              <w:tc>
                <w:tcPr>
                  <w:tcW w:type="dxa" w:w="1021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Zustand</w:t>
                  </w:r>
                </w:p>
              </w:tc>
              <w:tc>
                <w:tcPr>
                  <w:tcW w:type="dxa" w:w="1928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Belegung Kellerspeicher</w:t>
                  </w:r>
                </w:p>
              </w:tc>
              <w:tc>
                <w:tcPr>
                  <w:tcW w:type="dxa" w:w="1814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oberstes Kellersymbol</w:t>
                  </w:r>
                </w:p>
              </w:tc>
              <w:tc>
                <w:tcPr>
                  <w:tcW w:type="dxa" w:w="2155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verarbeitetes Eingabezeichen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02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S0</w:t>
                  </w:r>
                </w:p>
              </w:tc>
              <w:tc>
                <w:tcPr>
                  <w:tcW w:type="dxa" w:w="192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#</w:t>
                  </w:r>
                </w:p>
              </w:tc>
              <w:tc>
                <w:tcPr>
                  <w:tcW w:type="dxa" w:w="181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–</w:t>
                  </w:r>
                </w:p>
              </w:tc>
              <w:tc>
                <w:tcPr>
                  <w:tcW w:type="dxa" w:w="2155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–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02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S1</w:t>
                  </w:r>
                </w:p>
              </w:tc>
              <w:tc>
                <w:tcPr>
                  <w:tcW w:type="dxa" w:w="192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#</w:t>
                  </w:r>
                </w:p>
              </w:tc>
              <w:tc>
                <w:tcPr>
                  <w:tcW w:type="dxa" w:w="181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#</w:t>
                  </w:r>
                </w:p>
              </w:tc>
              <w:tc>
                <w:tcPr>
                  <w:tcW w:type="dxa" w:w="2155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02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S0</w:t>
                  </w:r>
                </w:p>
              </w:tc>
              <w:tc>
                <w:tcPr>
                  <w:tcW w:type="dxa" w:w="192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K#</w:t>
                  </w:r>
                </w:p>
              </w:tc>
              <w:tc>
                <w:tcPr>
                  <w:tcW w:type="dxa" w:w="181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#</w:t>
                  </w:r>
                </w:p>
              </w:tc>
              <w:tc>
                <w:tcPr>
                  <w:tcW w:type="dxa" w:w="2155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(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02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S0</w:t>
                  </w:r>
                </w:p>
              </w:tc>
              <w:tc>
                <w:tcPr>
                  <w:tcW w:type="dxa" w:w="192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KK#</w:t>
                  </w:r>
                </w:p>
              </w:tc>
              <w:tc>
                <w:tcPr>
                  <w:tcW w:type="dxa" w:w="181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K</w:t>
                  </w:r>
                </w:p>
              </w:tc>
              <w:tc>
                <w:tcPr>
                  <w:tcW w:type="dxa" w:w="2155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(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02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S1</w:t>
                  </w:r>
                </w:p>
              </w:tc>
              <w:tc>
                <w:tcPr>
                  <w:tcW w:type="dxa" w:w="192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KK#</w:t>
                  </w:r>
                </w:p>
              </w:tc>
              <w:tc>
                <w:tcPr>
                  <w:tcW w:type="dxa" w:w="181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K</w:t>
                  </w:r>
                </w:p>
              </w:tc>
              <w:tc>
                <w:tcPr>
                  <w:tcW w:type="dxa" w:w="2155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02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S1</w:t>
                  </w:r>
                </w:p>
              </w:tc>
              <w:tc>
                <w:tcPr>
                  <w:tcW w:type="dxa" w:w="192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K#</w:t>
                  </w:r>
                </w:p>
              </w:tc>
              <w:tc>
                <w:tcPr>
                  <w:tcW w:type="dxa" w:w="181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K</w:t>
                  </w:r>
                </w:p>
              </w:tc>
              <w:tc>
                <w:tcPr>
                  <w:tcW w:type="dxa" w:w="2155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)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02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S1</w:t>
                  </w:r>
                </w:p>
              </w:tc>
              <w:tc>
                <w:tcPr>
                  <w:tcW w:type="dxa" w:w="192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K#</w:t>
                  </w:r>
                </w:p>
              </w:tc>
              <w:tc>
                <w:tcPr>
                  <w:tcW w:type="dxa" w:w="181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K</w:t>
                  </w:r>
                </w:p>
              </w:tc>
              <w:tc>
                <w:tcPr>
                  <w:tcW w:type="dxa" w:w="2155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02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S1</w:t>
                  </w:r>
                </w:p>
              </w:tc>
              <w:tc>
                <w:tcPr>
                  <w:tcW w:type="dxa" w:w="192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#</w:t>
                  </w:r>
                </w:p>
              </w:tc>
              <w:tc>
                <w:tcPr>
                  <w:tcW w:type="dxa" w:w="181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K</w:t>
                  </w:r>
                </w:p>
              </w:tc>
              <w:tc>
                <w:tcPr>
                  <w:tcW w:type="dxa" w:w="2155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)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02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S2</w:t>
                  </w:r>
                </w:p>
              </w:tc>
              <w:tc>
                <w:tcPr>
                  <w:tcW w:type="dxa" w:w="192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#</w:t>
                  </w:r>
                </w:p>
              </w:tc>
              <w:tc>
                <w:tcPr>
                  <w:tcW w:type="dxa" w:w="181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#</w:t>
                  </w:r>
                </w:p>
              </w:tc>
              <w:tc>
                <w:tcPr>
                  <w:tcW w:type="dxa" w:w="2155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ε</w:t>
                  </w:r>
                </w:p>
              </w:tc>
            </w:tr>
          </w:tbl>
          <w:p>
            <w:pPr>
              <w:spacing w:after="140" w:before="0"/>
            </w:pP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Eingabe wird akzeptiert: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ja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(S2 ist Endzustand, Eingabe vollständig gelesen). (Zeilen 3 BE, Abschluss mit ε-Übergang und Entscheidung 1 BE)</w:t>
            </w:r>
          </w:p>
        </w:tc>
        <w:tc>
          <w:tcPr>
            <w:tcW w:type="dxa" w:w="567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4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</w:t>
            </w:r>
          </w:p>
        </w:tc>
      </w:tr>
      <w:tr>
        <w:trPr>
          <w:cantSplit w:val="false"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Annahme: Es gibt einen endlichen Automaten mit k Zuständen, der genau die Szenen akzeptiert. Betrachtet werden die k + 1 Eingaben (, ((, …, (ᵏ⁺¹. Nach dem Schubfachprinzip führen zwei davon, (ⁱ und (ʲ mit i ≠ j, in denselben Zustand. Dann behandelt der Automat die Fortsetzung B)ⁱ in beiden Fällen gleich: (ⁱB)ⁱ ist eine Szene und wird akzeptiert, also wird auch (ʲB)ⁱ akzeptiert – das ist aber keine Szene (Klammern nicht ausgeglichen). Widerspruch; ein endlicher Automat kann die unbeschränkte Verschachtelungstiefe nicht zählen. (Annahme und Schubfachargument 2 BE, Fortsetzung und Widerspruch 2 BE)</w:t>
            </w:r>
          </w:p>
        </w:tc>
        <w:tc>
          <w:tcPr>
            <w:tcW w:type="dxa" w:w="567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4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III</w:t>
            </w:r>
          </w:p>
        </w:tc>
      </w:tr>
      <w:tr>
        <w:trPr>
          <w:cantSplit w:val="false"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j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Zustand ↔ Nichtterminal, z. B. S = Gerät erwartet, A = Aktionszeichen erwartet, B = Befehl vollständig. N = {S, A, B}, T = {L, H, R, +, -}, Startsymbol S,</w:t>
            </w:r>
          </w:p>
          <w:p>
            <w:pPr>
              <w:spacing w:after="100" w:before="0" w:line="276"/>
              <w:ind w:left="30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S → LA | HA | RA      A → +B | -B      B → +B | -B | LA | HA | RA | ε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(oder gleichwertig). Alle Regeln haben die Form X → aY, X → a oder X → ε. Prüfung: S ⇒ LA ⇒ L+B ⇒ L+RA ⇒ L+R-B ⇒ L+R--B ⇒ L+R--. (N, T, S 1 BE, Regeln 2 BE, rechtsreguläre Form 1 BE)</w:t>
            </w:r>
          </w:p>
        </w:tc>
        <w:tc>
          <w:tcPr>
            <w:tcW w:type="dxa" w:w="567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4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II</w:t>
            </w:r>
          </w:p>
        </w:tc>
      </w:tr>
      <w:tr>
        <w:trPr>
          <w:cantSplit w:val="false"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k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 ⇒ BS ⇒ B(S) ⇒ B((S)S) ⇒ B((B)S) ⇒ B((B)B)   (Regeln: S → BS, S → (S), S → (S)S, S → B, S → B)</w:t>
            </w:r>
          </w:p>
        </w:tc>
        <w:tc>
          <w:tcPr>
            <w:tcW w:type="dxa" w:w="567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2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</w:t>
            </w:r>
          </w:p>
        </w:tc>
      </w:tr>
      <w:tr>
        <w:trPr>
          <w:cantSplit w:val="false"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l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Eine reguläre (rechtsreguläre) Grammatik erlaubt nur Regeln der Form A → aB, A → a oder A → ε. Die Regeln S → (S)S und S → (S) enthalten das Nichtterminal S zwischen bzw. vor Terminalsymbolen – damit ist G nicht regulär. (Alternativ: zwei Nichtterminale in einer rechten Seite.)</w:t>
            </w:r>
          </w:p>
        </w:tc>
        <w:tc>
          <w:tcPr>
            <w:tcW w:type="dxa" w:w="567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2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</w:t>
            </w:r>
          </w:p>
        </w:tc>
      </w:tr>
      <w:tr>
        <w:trPr>
          <w:cantSplit w:val="false"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m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Eine Gruppe muss nun mindestens zwei Elemente enthalten, z. B. mit einem Nichtterminal E für Elemente:</w:t>
            </w:r>
          </w:p>
          <w:p>
            <w:pPr>
              <w:spacing w:after="100" w:before="0" w:line="276"/>
              <w:ind w:left="30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S → ES | E      E → B | (ES)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(ES) erzwingt mindestens ein Element E und eine weitere Szene S mit mindestens einem Element. Beispiele: (BB), B(B(BB)); nicht mehr erzeugbar: (B). Gleichwertige Lösungen (z. B. S → BS | B | (SS)S | (SS) mit S → … ) sind zulässig, wenn ( ) genau Szenen mit mindestens zwei Elementen umschließt.</w:t>
            </w:r>
          </w:p>
        </w:tc>
        <w:tc>
          <w:tcPr>
            <w:tcW w:type="dxa" w:w="567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2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II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Bewertungstabelle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041"/>
        <w:gridCol w:w="5103"/>
        <w:gridCol w:w="1021"/>
        <w:gridCol w:w="1701"/>
      </w:tblGrid>
      <w:tr>
        <w:trPr>
          <w:cantSplit/>
          <w:tblHeader/>
        </w:trPr>
        <w:tc>
          <w:tcPr>
            <w:tcW w:type="dxa" w:w="204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Anforderungsbereich</w:t>
            </w:r>
          </w:p>
        </w:tc>
        <w:tc>
          <w:tcPr>
            <w:tcW w:type="dxa" w:w="5103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Teilaufgaben</w:t>
            </w:r>
          </w:p>
        </w:tc>
        <w:tc>
          <w:tcPr>
            <w:tcW w:type="dxa" w:w="102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</w:t>
            </w:r>
          </w:p>
        </w:tc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Anteil</w:t>
            </w:r>
          </w:p>
        </w:tc>
      </w:tr>
      <w:tr>
        <w:trPr>
          <w:cantSplit/>
          <w:tblHeader w:val="false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AFB I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 (4), e teilweise (2), h (4), k (2), l (2)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14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31 %</w:t>
            </w:r>
          </w:p>
        </w:tc>
      </w:tr>
      <w:tr>
        <w:trPr>
          <w:cantSplit/>
          <w:tblHeader w:val="false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AFB II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 (3), c (4), e teilweise (2), f (4), g (3), j (4), m (2)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22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49 %</w:t>
            </w:r>
          </w:p>
        </w:tc>
      </w:tr>
      <w:tr>
        <w:trPr>
          <w:cantSplit/>
          <w:tblHeader w:val="false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AFB III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 (5), i (4)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9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20 %</w:t>
            </w:r>
          </w:p>
        </w:tc>
      </w:tr>
      <w:tr>
        <w:trPr>
          <w:cantSplit/>
          <w:tblHeader w:val="false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Gesamt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45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100 %</w:t>
            </w:r>
          </w:p>
        </w:tc>
      </w:tr>
    </w:tbl>
    <w:p>
      <w:pPr>
        <w:spacing w:after="140" w:before="0"/>
      </w:pPr>
    </w:p>
    <w:tbl>
      <w:tblPr>
        <w:tblW w:type="dxa" w:w="9858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47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cantSplit/>
          <w:tblHeader/>
        </w:trPr>
        <w:tc>
          <w:tcPr>
            <w:tcW w:type="dxa" w:w="147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Notenpunkte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15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14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13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12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11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10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9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8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3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2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7"/>
                <w:szCs w:val="17"/>
              </w:rPr>
              <w:t xml:space="preserve">ab BE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43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41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39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36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34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32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30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27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25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23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21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18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15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13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9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0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Zuordnung nach dem Prozentschema der EB-Bewertung (15 NP ab 95 %, 14 ab 90 %, … 5 ab 45 %, 4 ab 40 %, 3 ab 33 %, 2 ab 27 %, 1 ab 20 %), BE aufgerundet.</w:t>
      </w: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Hinweise zur Korrektur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Gleichwertige Lösungen (andere Zustandsnamen, andere Nichtterminale, zusätzliche Zustände mit korrektem Verhalten) werden voll gewertet; fehlender Fehlerzustand-Hinweis bei entwickelten Automaten: 1 BE Abzug je Automat.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Teil c (Zählteil, 2 BE): Anzahl 12 ohne Begründung über die Struktur (Gerät, dann zwei Aktionszeichen): höchstens 1 BE; das Aufzählen aller zwölf Wörter gilt als vollständige Lösung des Zählteils. Die Begründung „endet mit einem Aktionszeichen“ (2 BE) wird gesondert bewertet.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Teil h: Ein Fehler in der Kellerbelegung, der konsequent weitergeführt wird, kostet nur 1 BE (Folgefehler).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Teil i: Argumentation mit „der Automat müsste unendlich viele Klammern zählen“ ohne Schubfachprinzip: höchstens 2 BE.</w:t>
            </w:r>
          </w:p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Übungsklausur · Erwartungshorizont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eA (Leistungskurs)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1a831b1a18a550aaf5c1eb778194974847bcf76.png"/><Relationship Id="rId10" Type="http://schemas.openxmlformats.org/officeDocument/2006/relationships/image" Target="media/8b90cd6f94562d688c015225c375612d9486ab1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Erwartungshorizont „Smart-Home-Befehle“</dc:title>
  <dc:creator>Frank Juchim</dc:creator>
  <dc:description>Informatik gA/eA – Automaten und formale Sprachen</dc:description>
  <cp:lastModifiedBy>Un-named</cp:lastModifiedBy>
  <cp:revision>1</cp:revision>
  <dcterms:created xsi:type="dcterms:W3CDTF">2026-10-12T09:28:53.990Z</dcterms:created>
  <dcterms:modified xsi:type="dcterms:W3CDTF">2026-10-12T09:28:53.990Z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