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M09  ·  Welt C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Reguläre Grammatik und Automat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M09 · Level 12 · Übersetzungsrezept in beide Richtungen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Rechtsreguläre Grammatik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Eine Grammatik ist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rechtsregulär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(im Abitur: </w:t>
      </w:r>
      <w:r>
        <w:rPr>
          <w:rFonts w:ascii="Calibri" w:cs="Calibri" w:eastAsia="Calibri" w:hAnsi="Calibri"/>
          <w:i/>
          <w:iCs/>
          <w:color w:val="1F2A2E"/>
          <w:sz w:val="21"/>
          <w:szCs w:val="21"/>
        </w:rPr>
        <w:t xml:space="preserve">regulär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), wenn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jede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Regel eine der Formen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 → aB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 → a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oder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 → ε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hat (a Terminalsymbol, B Nichtterminal).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95"/>
        <w:gridCol w:w="1701"/>
        <w:gridCol w:w="5670"/>
      </w:tblGrid>
      <w:tr>
        <w:trPr>
          <w:cantSplit/>
          <w:tblHeader/>
        </w:trPr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Regel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rechtsregulär?</w:t>
            </w:r>
          </w:p>
        </w:tc>
        <w:tc>
          <w:tcPr>
            <w:tcW w:type="dxa" w:w="567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Grund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aS  |  bA  |  ε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genau ein Terminal, ggf. gefolgt von genau einem Nichtterminal – oder ε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aSb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Nichtterminal in der Mitte (Terminal rechts davon)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Sa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Nichtterminal links vom Terminal (linksregulär)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 → +xA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Terminale vor dem Nichtterminal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 → BC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Nichtterminale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Übersetzungsrezept: vom DEA zur Grammatik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783"/>
        <w:gridCol w:w="4083"/>
      </w:tblGrid>
      <w:tr>
        <w:trPr>
          <w:cantSplit/>
        </w:trPr>
        <w:tc>
          <w:tcPr>
            <w:tcW w:type="dxa" w:w="5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Jeder Zustand wird 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Nichtterminal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(gleicher Name), der Startzustand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Startsymbol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Jeder Übergang Si –a→ Sj wird die Regel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Si → aSj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Jeder Endzustand Si bekommt zusätzlich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Si → ε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Fehlerzustand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entfällt (keine Regeln).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N, T (= Σ), Startsymbol und Produktionsregeln angeben.</w:t>
            </w:r>
          </w:p>
        </w:tc>
        <w:tc>
          <w:tcPr>
            <w:tcW w:type="dxa" w:w="40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447925" cy="742950"/>
                  <wp:effectExtent t="0" r="0" b="0" l="0"/>
                  <wp:docPr id="1" name="duell.png" descr="Σ = {a, b}. Alle nicht eingezeichneten Übergänge führen in einen Fehlerzustand." title="Σ = {a, b}. Alle nicht eingezeichneten Übergänge führen in einen Fehlerzustan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Σ = {a, b}. Alle nicht eingezeichneten Übergänge führen in einen Fehlerzustand.</w:t>
            </w:r>
          </w:p>
          <w:tbl>
            <w:tblPr>
              <w:tblW w:type="dxa" w:w="3856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856"/>
            </w:tblGrid>
            <w:tr>
              <w:trPr>
                <w:cantSplit/>
              </w:trPr>
              <w:tc>
                <w:tcPr>
                  <w:tcW w:type="dxa" w:w="3856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S0 → aS1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S1 → aS1 | bS2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S2 → aS1 | bS2 | ε</w:t>
                  </w:r>
                </w:p>
              </w:tc>
            </w:tr>
          </w:tbl>
          <w:p>
            <w:pPr>
              <w:spacing w:after="120" w:before="0"/>
            </w:pPr>
          </w:p>
        </w:tc>
      </w:tr>
    </w:tbl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Ableitung = Lauf: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S0 ⇒ aS1 ⇒ abS2 ⇒ abaS1 ⇒ ababS2 ⇒ abab entspricht S0 –a→ S1 –b→ S2 –a→ S1 –b→ S2. Das Nichtterminal am Ende jeder Satzform ist der aktuelle Zustand.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Rückweg: von der Grammatik über den NEA zum DEA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Jedes Nichtterminal wird ein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Zustand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das Startsymbol der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Startzustand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 → aB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wird der Übergang A –a→ B; 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 → ε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macht A zum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Endzustand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 → 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wird ein Übergang A –a→ Z in einen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neuen Endzustand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Z (ohne ausgehende Übergänge).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Gibt es aus einem Zustand zwei Übergänge mit demselben Zeichen, ist das Ergebnis ein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NEA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→ mit der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Teilmengenkonstruktion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in einen DEA umwandeln.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89"/>
        <w:gridCol w:w="6577"/>
      </w:tblGrid>
      <w:tr>
        <w:trPr>
          <w:cantSplit/>
        </w:trPr>
        <w:tc>
          <w:tcPr>
            <w:tcW w:type="dxa" w:w="32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tbl>
            <w:tblPr>
              <w:tblW w:type="dxa" w:w="3062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062"/>
            </w:tblGrid>
            <w:tr>
              <w:trPr>
                <w:cantSplit/>
              </w:trPr>
              <w:tc>
                <w:tcPr>
                  <w:tcW w:type="dxa" w:w="3062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{S, A}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{a, b}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aS | bS | aA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A → b</w:t>
                  </w:r>
                </w:p>
              </w:tc>
            </w:tr>
          </w:tbl>
          <w:p>
            <w:pPr>
              <w:spacing w:after="120" w:before="0"/>
            </w:pP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alle Wörter, die auf ab enden</w:t>
            </w:r>
          </w:p>
        </w:tc>
        <w:tc>
          <w:tcPr>
            <w:tcW w:type="dxa" w:w="65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524125" cy="733425"/>
                  <wp:effectExtent t="0" r="0" b="0" l="0"/>
                  <wp:docPr id="1" name="endet_ab_nea.png" descr="NEA nach Rezept (aus S zwei a-Übergänge)" title="NEA nach Rezept (aus S zwei a-Übergänge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NEA nach Rezept (aus S zwei a-Übergänge)</w:t>
            </w:r>
          </w:p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3019425" cy="1152525"/>
                  <wp:effectExtent t="0" r="0" b="0" l="0"/>
                  <wp:docPr id="1" name="endet_ab_dea.png" descr="DEA: S0 = {S}, S1 = {S, A}, S2 = {S, Z}" title="DEA: S0 = {S}, S1 = {S, A}, S2 = {S, Z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DEA: S0 = {S}, S1 = {S, A}, S2 = {S, Z}</w:t>
            </w:r>
          </w:p>
        </w:tc>
      </w:tr>
    </w:tbl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Grammatik nicht regulär – Sprache regulär?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„Die Grammatik ist nicht regulär“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Eine </w:t>
      </w:r>
      <w:r>
        <w:rPr>
          <w:rFonts w:ascii="Calibri" w:cs="Calibri" w:eastAsia="Calibri" w:hAnsi="Calibri"/>
          <w:i/>
          <w:iCs/>
          <w:color w:val="1F2A2E"/>
          <w:sz w:val="20"/>
          <w:szCs w:val="20"/>
        </w:rPr>
        <w:t xml:space="preserve">bestimmte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Grammatik verletzt die Regelform (Regel nennen!).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„Die Sprache ist regulär“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Es gibt </w:t>
      </w:r>
      <w:r>
        <w:rPr>
          <w:rFonts w:ascii="Calibri" w:cs="Calibri" w:eastAsia="Calibri" w:hAnsi="Calibri"/>
          <w:i/>
          <w:iCs/>
          <w:color w:val="1F2A2E"/>
          <w:sz w:val="20"/>
          <w:szCs w:val="20"/>
        </w:rPr>
        <w:t xml:space="preserve">irgendeine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reguläre Grammatik bzw. einen DEA für sie → angeben.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Beispiel: A → +xA | +yA | ε ist nicht regulär, aber mit A → +B | ε, B → xA | yA entsteht eine reguläre Grammatik derselben Sprache.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Sprache nicht regulär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(z. B. {aⁿbⁿ | n ≥ 1}): </w:t>
      </w:r>
      <w:r>
        <w:rPr>
          <w:rFonts w:ascii="Calibri" w:cs="Calibri" w:eastAsia="Calibri" w:hAnsi="Calibri"/>
          <w:i/>
          <w:iCs/>
          <w:color w:val="1F2A2E"/>
          <w:sz w:val="20"/>
          <w:szCs w:val="20"/>
        </w:rPr>
        <w:t xml:space="preserve">keine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reguläre Grammatik möglich – Begründung wie bei DEA (unbeschränkt zählen, Schubfachprinzip).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Abi-Check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515"/>
        <w:gridCol w:w="6350"/>
      </w:tblGrid>
      <w:tr>
        <w:trPr>
          <w:cantSplit/>
          <w:tblHeader/>
        </w:trPr>
        <w:tc>
          <w:tcPr>
            <w:tcW w:type="dxa" w:w="351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635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Entwickeln Sie eine reguläre Grammatik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Erst überlegen, was man sich merken muss (wie Zustände) → Nichtterminale mit Bedeutung; dann Regeln der Form A → aB / a / ε. Mit Beispiel- und Gegenbeispielwort prüfen.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die Grammatik regulär ist.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„Alle Regeln haben die Form A → aB, A → a oder A → ε.“ – ggf. Regeln exemplarisch nennen.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G nicht regulär, die Sprache aber regulär ist.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Regel nennen, die die Form verletzt,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und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eine reguläre Grammatik (oder einen DEA) für dieselbe Sprache angeben.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Entwickeln Sie einen DEA zur Grammatik.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Rezept anwenden; bei Nichtdeterminismus Teilmengenkonstruktion; Hinweis zum Fehlerzustand nicht vergessen.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Erläutern Sie, wie sichergestellt wird, dass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Bedeutung der Nichtterminale im Sachzusammenhang („In C sind noch 3 Schläge frei“) und welche Regeln fehlen bzw. vorhanden sind.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Geben Sie eine Regel an, sodass keine reguläre Grammatik möglich ist.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Regel, die unbeschränktes Zählen oder Vergleichen verlangt („gleich viele … wie …“), kurz begründen.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 Fehler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ε-Regeln für Endzustände vergessen; bei A → a den neuen Endzustand vergessen.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 → Sa für regulär halten; Nichtdeterminismus nach der Übersetzung übersehen.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P6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Regularität ohne Schubfachargument beurteilt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P9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Grammatik oder Ableitung formal fehlerhaft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M09 · Merkblatt Reguläre Grammatik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1df57a6228231814841e18a3e17737a021f217.png"/><Relationship Id="rId10" Type="http://schemas.openxmlformats.org/officeDocument/2006/relationships/image" Target="media/6112b127c8f25609247113160d24186e3933e00a.png"/><Relationship Id="rId11" Type="http://schemas.openxmlformats.org/officeDocument/2006/relationships/image" Target="media/7aa8265d17437e0a11a5eebf1b1f5a13777cde4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Reguläre Grammatik und Automat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2026-10-14T15:59:07.841Z</dcterms:created>
  <dcterms:modified xsi:type="dcterms:W3CDTF">2026-10-14T15:59:07.841Z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