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3  ·  Welt A · Endliche Automaten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Bauplan gesucht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DEA systematisch entwickeln – Bausteine und Vorgehen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entwickle ich systematisch einen Automaten für eine gegebene Sprache?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entwickeln DEAs systematisch nach einem 5-Schritte-Vorgehen, wenden die Konstruktionsbausteine festes Präfix, Teilwort, Endung, Zählen (genau / mindestens / modulo), Produkt („Paare von Erinnerungen“) und Komplement an und überprüfen ihre Automaten mit Grenzfällen und Gegenbeispielen.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Automatenmodelle als Zustandsgraphen entwickeln und implementieren (K3); „implementieren“ über den Automaten-Baukasten bzw. flaci.com. PK1.5 (Modelle entwickeln), PK3.2 (Lösungen überprüfen), IK3.2.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Operatoren „entwickeln/entwerfen“, „ergänzen/verändern“, „begründen“ (Zustände müssen verschieden sein). Zur Vertiefung: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2024 eA Aufgabe B, Teile a–c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(Spielekonsolen-Code; AB-Aufgabe 5 ist eine Variante mit veränderter Regel (2)),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2022 eA Aufgabe C, Teil 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(Begründen, dass 30 und 03 in verschiedene Zustände führen; vollständigen DEA entwerfen),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 2025 eA Aufgabe B, Teil f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(Zustandsgraph ergänzen).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DS03, AB03, Merkblatt M02 „DEA entwickeln – Bausteine &amp; Vorgehen“, AutomatenLab „Automaten-Baukasten“ (#/baukasten, Challenges per ?aufgabe=…)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M02 kopieren (beidseitig), iPads/App-Zugang prüfen; ggf. Folienstift für die gemeinsame Konstruktion am Einstiegsbeispiel.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Denkfrage (Folien 3–4): „Gerade Anzahl a UND endet auf b – was muss sich der Automat merken?“ Think-Pair-Share; Ergebnis: zwei unabhängige Erinnerungen → vier Paare.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 → PA → UG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10–35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Bausteine-Galerie (Folien 6–8): Präfix, Teilwort, Endung, Zählen genau/mindestens, modulo, Produkt, Komplement. 5-Schritte-Vorgehen am Einstiegsbeispiel gemeinsam durchführen inkl. Testtabelle und typischen Fallen (Folien 9–12). M02 austeilen.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LV/UG, Folien, M02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35–80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AB03 gestuft: Basis 1, Standard 2–4, Profi 5. Kontrolle eigenständig im Baukasten (Gegenbeispiel-Feedback). Lehrkraft berät; Zwischenstopp nach ca. 20 min: typischer Fehler „Neuanfang“ (Aufgabe 2) am Beispiel </w:t>
            </w:r>
            <w:r>
              <w:rPr>
                <w:rFonts w:ascii="Consolas" w:cs="Consolas" w:eastAsia="Consolas" w:hAnsi="Consolas"/>
                <w:color w:val="0A4A3F"/>
                <w:sz w:val="18"/>
                <w:szCs w:val="18"/>
              </w:rPr>
              <w:t xml:space="preserve">ababa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AB03, iPads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Abi-Check (Folie 17): „Begründen Sie, dass sich der Automat nach x und y in verschiedenen Zuständen befinden muss.“ Antwortmuster an Aufgabe 5a. Merke-Folie, HA.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M02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 zum Einstiegsbeispiel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Die Produktkonstruktion liefert vier Zustände. Der Automat ist korrekt, aber nicht minimal: Die Zustände S2 und S3 („ungerade Anzahl a“ mit bzw. ohne b am Ende) sind gleichwertig, weil bei ungerader Anzahl a das letzte Zeichen keine Rolle spielt. Das ist kein Fehler – die Produkt-Idee ist ein sicherer Bauplan; das Zusammenfassen folgt in Level 5 (Vertiefung). Die Baukasten-Challenge „gerade-a-endet-b“ prüft nur die Sprache und akzeptiert beide Varianten.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AB03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Bausteine anwenden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a) Festes Präfix „ba“: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667000" cy="809625"/>
                  <wp:effectExtent t="0" r="0" b="0" l="0"/>
                  <wp:docPr id="1" name="a1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b) Zählen genau (ein a):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943100" cy="828675"/>
                  <wp:effectExtent t="0" r="0" b="0" l="0"/>
                  <wp:docPr id="1" name="a1c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c) Zählen mindestens (drei b):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3600450" cy="847725"/>
            <wp:effectExtent t="0" r="0" b="0" l="0"/>
            <wp:docPr id="1" name="a1b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Bei a) und b) führen alle nicht eingezeichneten Übergänge in einen Fehlerzustand (Hinweis muss notiert sein).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Endet auf „aba“</w:t>
      </w:r>
    </w:p>
    <w:p>
      <w:pPr>
        <w:keepNext w:val="false"/>
        <w:spacing w:after="120" w:before="60"/>
        <w:jc w:val="center"/>
      </w:pPr>
      <w:r>
        <w:drawing>
          <wp:inline distT="0" distB="0" distL="0" distR="0">
            <wp:extent cx="4143375" cy="1228725"/>
            <wp:effectExtent t="0" r="0" b="0" l="0"/>
            <wp:docPr id="1" name="a2_aba.png" descr="Abbildung" title="Abbil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Bedeutung: S0 – kein passender Anfang; S1 – zuletzt „a“; S2 – zuletzt „ab“; S3 – zuletzt „aba“ (Endzustand).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1021"/>
        <w:gridCol w:w="7711"/>
      </w:tblGrid>
      <w:tr>
        <w:trPr>
          <w:cantSplit/>
          <w:tblHeader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Wort</w:t>
            </w:r>
          </w:p>
        </w:tc>
        <w:tc>
          <w:tcPr>
            <w:tcW w:type="dxa" w:w="102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soll?</w:t>
            </w:r>
          </w:p>
        </w:tc>
        <w:tc>
          <w:tcPr>
            <w:tcW w:type="dxa" w:w="771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Zustandsfolge (Musterlösung)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ε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 ⇒  abgelehnt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–a→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aaba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–a→ S1 –b→ S2 –a→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abab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–a→ S3 –b→ S2  ⇒  abgelehnt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ababa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ja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–a→ S3 –b→ S2 –a→ S3  ⇒  akzeptiert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abba</w:t>
            </w:r>
          </w:p>
        </w:tc>
        <w:tc>
          <w:tcPr>
            <w:tcW w:type="dxa" w:w="102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nein</w:t>
            </w:r>
          </w:p>
        </w:tc>
        <w:tc>
          <w:tcPr>
            <w:tcW w:type="dxa" w:w="771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S1 –b→ S2 –b→ S0 –a→ S1  ⇒  abgelehnt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c) Nach „aba“ + b sind die letzten Zeichen „ab“ – das ist schon wieder der Anfang von „aba“. Der Automat muss nach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S2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(nicht nach S0) wechseln. Ein Automat mit S3 –b→ S0 lehnt z. B.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ababa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fälschlich ab.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Das Gegenteil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a) Vollständigen Automaten nehmen und End- und Nicht-Endzustände tauschen: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733675" cy="809625"/>
                  <wp:effectExtent t="0" r="0" b="0" l="0"/>
                  <wp:docPr id="1" name="a3_nichtbb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b) Korrekt: zuerst den Fehlerzustand explizit machen (hier S3), dann tauschen:</w:t>
            </w:r>
          </w:p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733675" cy="1609725"/>
                  <wp:effectExtent t="0" r="0" b="0" l="0"/>
                  <wp:docPr id="1" name="a3_praefix_komplement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36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b) Gegenbeispiel: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beginnt nicht mit „ab“, wird von Lenas Automat aber abgelehnt (weitere: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ba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bb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A4A3F"/>
          <w:sz w:val="19"/>
          <w:szCs w:val="19"/>
        </w:rPr>
        <w:t xml:space="preserve">aaa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). Ursache: Der weggelassene Fehlerzustand ist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kein Endzustand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und bleibt es beim Tauschen – alle Wörter, die dort landen, werden weiterhin abgelehnt. Komplementbildung funktioniert nur bei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vollständigen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Automaten.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Zwei Bedingungen gleichzeitig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9"/>
        <w:gridCol w:w="5557"/>
      </w:tblGrid>
      <w:tr>
        <w:trPr>
          <w:cantSplit/>
        </w:trPr>
        <w:tc>
          <w:tcPr>
            <w:tcW w:type="dxa" w:w="43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center"/>
          </w:tcPr>
          <w:tbl>
            <w:tblPr>
              <w:tblW w:type="dxa" w:w="4140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964"/>
              <w:gridCol w:w="1191"/>
              <w:gridCol w:w="1191"/>
              <w:gridCol w:w="794"/>
            </w:tblGrid>
            <w:tr>
              <w:trPr>
                <w:cantSplit/>
                <w:tblHeader/>
              </w:trPr>
              <w:tc>
                <w:tcPr>
                  <w:tcW w:type="dxa" w:w="96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Zustand</w:t>
                  </w:r>
                </w:p>
              </w:tc>
              <w:tc>
                <w:tcPr>
                  <w:tcW w:type="dxa" w:w="119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Anzahl a</w:t>
                  </w:r>
                </w:p>
              </w:tc>
              <w:tc>
                <w:tcPr>
                  <w:tcW w:type="dxa" w:w="1191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Anzahl b</w:t>
                  </w:r>
                </w:p>
              </w:tc>
              <w:tc>
                <w:tcPr>
                  <w:tcW w:type="dxa" w:w="794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8"/>
                      <w:szCs w:val="18"/>
                    </w:rPr>
                    <w:t xml:space="preserve">End?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S0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nein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S1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ja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S2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nein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96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S3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1191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ungerade</w:t>
                  </w:r>
                </w:p>
              </w:tc>
              <w:tc>
                <w:tcPr>
                  <w:tcW w:type="dxa" w:w="794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center"/>
                  </w:pPr>
                  <w:r>
                    <w:rPr>
                      <w:rFonts w:ascii="Calibri" w:cs="Calibri" w:eastAsia="Calibri" w:hAnsi="Calibri"/>
                      <w:color w:val="1F2A2E"/>
                      <w:sz w:val="18"/>
                      <w:szCs w:val="18"/>
                    </w:rPr>
                    <w:t xml:space="preserve">nein</w:t>
                  </w:r>
                </w:p>
              </w:tc>
            </w:tr>
          </w:tbl>
          <w:p/>
        </w:tc>
        <w:tc>
          <w:tcPr>
            <w:tcW w:type="dxa" w:w="55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2162175" cy="1704975"/>
                  <wp:effectExtent t="0" r="0" b="0" l="0"/>
                  <wp:docPr id="1" name="a4_und.png" descr="b) a gerade UND b ungerade" title="b) a gerade UND b unger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b) a gerade UND b ungerade</w:t>
            </w:r>
          </w:p>
        </w:tc>
      </w:tr>
    </w:tbl>
    <w:p>
      <w:pPr>
        <w:spacing w:after="8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c) Gleicher Graph, nur andere Endzustände: F = {S0, S1, S3} (alle Paare, in denen „a gerade“ oder „b ungerade“ gilt). Die Übergänge hängen nur davon ab, wie sich die Erinnerungen ändern – nicht davon, welche Kombination akzeptiert wird.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Der Retro-Controller (Profi)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a) Nach X ist Regel (1) bereits erfüllt, nach O nicht. Mit dem Zusatz „OE“ wird XOE akzeptiert, OOE dagegen abgelehnt. Wären beide Eingaben im selben Zustand, müsste der Automat beide Wörter gleich behandeln. Musterlösung: S0 –X→ S4 –O→ S5 –E→ S6  ⇒  akzeptiert; S0 –O→ S1 –O→ S2 –E→ Fehlerzustand  ⇒  abgelehnt.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676650" cy="2409825"/>
            <wp:effectExtent t="0" r="0" b="0" l="0"/>
            <wp:docPr id="1" name="konsole_var.png" descr="b) Musterlösung mit 7 Zuständen. Alle nicht eingezeichneten Übergänge führen in einen Fehlerzustand." title="b) Musterlösung mit 7 Zuständen. 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b) Musterlösung mit 7 Zuständen. Alle nicht eingezeichneten Übergänge führen in einen Fehlerzustand.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134"/>
        <w:gridCol w:w="8732"/>
      </w:tblGrid>
      <w:tr>
        <w:trPr>
          <w:cantSplit/>
          <w:tblHeader/>
        </w:trPr>
        <w:tc>
          <w:tcPr>
            <w:tcW w:type="dxa" w:w="113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Zustand</w:t>
            </w:r>
          </w:p>
        </w:tc>
        <w:tc>
          <w:tcPr>
            <w:tcW w:type="dxa" w:w="873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Bedeutung (c)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Weder A noch X gedrückt, noch keine rote Taste (höchstens B).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S1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Weder A noch X, genau eine rote Taste (ein O).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S2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Weder A noch X, mindestens zwei rote Tasten (nur O).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S3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 gedrückt, aber noch keine rote Taste.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S4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Regel (1) erfüllt, genau eine rote Taste.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S5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Regeln (1) und (2) erfüllt – es fehlt nur noch E.</w:t>
            </w:r>
          </w:p>
        </w:tc>
      </w:tr>
      <w:tr>
        <w:trPr>
          <w:cantSplit/>
          <w:tblHeader w:val="false"/>
        </w:trPr>
        <w:tc>
          <w:tcPr>
            <w:tcW w:type="dxa" w:w="113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S6</w:t>
            </w:r>
          </w:p>
        </w:tc>
        <w:tc>
          <w:tcPr>
            <w:tcW w:type="dxa" w:w="873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Gültiger Code (mit E abgeschlossen); jede weitere Taste führt in den Fehlerzustand.</w:t>
            </w:r>
          </w:p>
        </w:tc>
      </w:tr>
    </w:tbl>
    <w:p>
      <w:pPr>
        <w:spacing w:after="140" w:before="0"/>
      </w:pP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247"/>
        <w:gridCol w:w="8618"/>
      </w:tblGrid>
      <w:tr>
        <w:trPr>
          <w:cantSplit/>
          <w:tblHeader/>
        </w:trPr>
        <w:tc>
          <w:tcPr>
            <w:tcW w:type="dxa" w:w="124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861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Verarbeitung durch die Musterlösung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AOXE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S3 –O→ S4 –X→ S5 –E→ S6  ⇒  akzeptiert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OOBE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–O→ S1 –O→ S2 –B→ S2 –E→ Fehlerzustand  ⇒  abgelehnt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XXE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–X→ S4 –X→ S5 –E→ S6  ⇒  akzeptiert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BXOE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–B→ S0 –X→ S4 –O→ S5 –E→ S6  ⇒  akzeptiert</w:t>
            </w:r>
          </w:p>
        </w:tc>
      </w:tr>
      <w:tr>
        <w:trPr>
          <w:cantSplit/>
          <w:tblHeader w:val="false"/>
        </w:trPr>
        <w:tc>
          <w:tcPr>
            <w:tcW w:type="dxa" w:w="124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AOE</w:t>
            </w:r>
          </w:p>
        </w:tc>
        <w:tc>
          <w:tcPr>
            <w:tcW w:type="dxa" w:w="861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S0 –A→ S3 –O→ S4 –E→ Fehlerzustand  ⇒  abgelehnt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d) Die Abitur-Regel („beide Farben“) benötigt </w:t>
      </w:r>
      <w:r>
        <w:rPr>
          <w:rFonts w:ascii="Calibri" w:cs="Calibri" w:eastAsia="Calibri" w:hAnsi="Calibri"/>
          <w:b/>
          <w:bCs/>
          <w:color w:val="1F2A2E"/>
          <w:sz w:val="20"/>
          <w:szCs w:val="20"/>
        </w:rPr>
        <w:t xml:space="preserve">8 Zustände</w:t>
      </w:r>
      <w:r>
        <w:rPr>
          <w:rFonts w:ascii="Calibri" w:cs="Calibri" w:eastAsia="Calibri" w:hAnsi="Calibri"/>
          <w:color w:val="1F2A2E"/>
          <w:sz w:val="20"/>
          <w:szCs w:val="20"/>
        </w:rPr>
        <w:t xml:space="preserve"> ohne Fehlerzustand (Variante: 7). Musterlösung zum Vergleich (entspricht der Referenz der Baukasten-Challenge „konsole“):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3962400" cy="2638425"/>
            <wp:effectExtent t="0" r="0" b="0" l="0"/>
            <wp:docPr id="1" name="konsole_abi.png" descr="Alle nicht eingezeichneten Übergänge führen in einen Fehlerzustand." title="Alle nicht eingezeichneten Übergänge führen in einen Fehlerzust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Alle nicht eingezeichneten Übergänge führen in einen Fehlerzustand.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Neuanfang vergessen: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Bei „endet auf“ und „enthält“ springen viele bei einem „falschen“ Zeichen immer nach S0. Testwort mit Überlappung (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ababa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A4A3F"/>
                <w:sz w:val="19"/>
                <w:szCs w:val="19"/>
              </w:rPr>
              <w:t xml:space="preserve">aaba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) bereithalten.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Unvollständige Automaten: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Bei „endet auf“ darf es keinen Fehlerzustand geben – jedes Zeichen kann noch zu einem akzeptierten Wort führen.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Komplement: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Tauschen nur bei vollständigem Automaten (Aufgabe 3b).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Produkt: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SuS bauen zwei getrennte Automaten nebeneinander. Klarstellen: Ein Zustand speichert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beide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Erinnerungen gleichzeitig (Paar).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Testen: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ε wird oft vergessen – ist S0 Endzustand, wird ε akzeptiert.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 mit M02 als Vorlage; Baukasten Stufe 1 (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#/baukasten?stufe=1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2–4; verwandte Baukasten-Challenges zum selben Baustein: „endet-ab“, „komplement-aa“, „gerade-a-endet-b“ (die AB-Sprachen selbst – aba, nicht bb, a gerade UND b ungerade – sind keine Challenges; Kontrolle über die Testtabellen bzw. den freien Modus).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5 und anschließend Original Abi 2024 eA B a–c; Zusatz: Abi 2022 eA C b (Trainer, Summenregel).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Hilfekarten: Für Aufgabe 2 die Bedeutungen „zuletzt a / ab / aba“ vorgeben; für Aufgabe 5 die Paar-Tabelle (2 × 3) vorgeben.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Hausaufgabe: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Baukasten-Challenges „a-mod-3“ und „anfang-ende“ (Profis: „binaer-3“) sowie eine eigene Challenge für die Sitznachbarin / den Sitznachbarn (Σ, Sprache, je drei Ja-/Nein-Wörter, Musterlösung). Die Paare tauschen ihre Challenges zu Beginn der nächsten Stunde als Warm-up (in Bonus-Level 4 oder 5 Minuten zu Beginn von Level 6).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DS03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1378a1784d7c7eb50f60911827e8d9f0c6c23f4.png"/><Relationship Id="rId10" Type="http://schemas.openxmlformats.org/officeDocument/2006/relationships/image" Target="media/d5dcda283144899ae737beb714272484592f1813.png"/><Relationship Id="rId11" Type="http://schemas.openxmlformats.org/officeDocument/2006/relationships/image" Target="media/5e636bb3e50a70ae8d8f56cdd746c6110803c4b4.png"/><Relationship Id="rId12" Type="http://schemas.openxmlformats.org/officeDocument/2006/relationships/image" Target="media/2b4ed24ecf508692341acb7db90e1ce0f307d914.png"/><Relationship Id="rId13" Type="http://schemas.openxmlformats.org/officeDocument/2006/relationships/image" Target="media/83f7808755c52fab576efe7224662fb16f7ba229.png"/><Relationship Id="rId14" Type="http://schemas.openxmlformats.org/officeDocument/2006/relationships/image" Target="media/4a25f4138d1ff1a977961a175ccb41baf801a3a0.png"/><Relationship Id="rId15" Type="http://schemas.openxmlformats.org/officeDocument/2006/relationships/image" Target="media/e65a2efe47280940b5fc1c750613102b32abc5b9.png"/><Relationship Id="rId16" Type="http://schemas.openxmlformats.org/officeDocument/2006/relationships/image" Target="media/850e69a9edf82f10fc6f31046472d0f2c8bd075d.png"/><Relationship Id="rId17" Type="http://schemas.openxmlformats.org/officeDocument/2006/relationships/image" Target="media/5ecf827fe7dda1222df1fad6d1cbf32ff387ca8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Bauplan gesucht</dc:title>
  <dc:creator>Frank Juchim</dc:creator>
  <dc:description>Informatik LK – Automaten und formale Sprachen</dc:description>
  <cp:lastModifiedBy>Un-named</cp:lastModifiedBy>
  <cp:revision>1</cp:revision>
  <dcterms:created xsi:type="dcterms:W3CDTF">2026-10-03T21:39:39.629Z</dcterms:created>
  <dcterms:modified xsi:type="dcterms:W3CDTF">2026-10-03T21:39:39.629Z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