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13  ·  Welt C · Formale Sprachen</w:t>
            </w:r>
          </w:p>
          <w:p>
            <w:pPr>
              <w:spacing w:after="40" w:before="20"/>
            </w:pPr>
            <w:r>
              <w:rPr>
                <w:rFonts w:ascii="Cambria" w:cs="Cambria" w:eastAsia="Cambria" w:hAnsi="Cambria"/>
                <w:b/>
                <w:bCs/>
                <w:color w:val="0E6455"/>
                <w:sz w:val="40"/>
                <w:szCs w:val="40"/>
              </w:rPr>
              <w:t xml:space="preserve">Klammern, Spiegel, Programme</w:t>
            </w:r>
          </w:p>
          <w:p>
            <w:pPr>
              <w:spacing w:after="0"/>
            </w:pPr>
            <w:r>
              <w:rPr>
                <w:rFonts w:ascii="Calibri" w:cs="Calibri" w:eastAsia="Calibri" w:hAnsi="Calibri"/>
                <w:color w:val="5B6770"/>
                <w:sz w:val="22"/>
                <w:szCs w:val="22"/>
              </w:rPr>
              <w:t xml:space="preserve">Kontextfreie Grammatiken</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LK (eA)</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Wie beschreibt man Sprachen mit Verschachtelung und Symmetrie?</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entwickeln kontextfreie Grammatiken für Sprachen mit Verschachtelung und Symmetrie, zeichnen Ableitungsbäume, zeigen Mehrdeutigkeit und lösen sie auf, begründen, dass es für eine Sprache keine reguläre Grammatik gibt, und erläutern den Zusammenhang zwischen kontextfreien Grammatiken und Kellerautomaten.</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Formale Sprachen (eA): kontextfreie Grammatiken entwerfen (F3), erzeugte Sprache beschreiben (F2); Grenzen endlicher Automaten (K5), Kellerautomat (K6). PK1.5, PK2.3, PK3.2, IK3.4</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Originale zur Vertiefung:</w:t>
            </w:r>
            <w:r>
              <w:rPr>
                <w:rFonts w:ascii="Calibri" w:cs="Calibri" w:eastAsia="Calibri" w:hAnsi="Calibri"/>
                <w:b w:val="false"/>
                <w:bCs w:val="false"/>
                <w:color w:val="1F2A2E"/>
                <w:sz w:val="20"/>
                <w:szCs w:val="20"/>
              </w:rPr>
              <w:t xml:space="preserve"> Abi 2022 eA Aufgabe D, Teil c (Frog3/Frog4: verschachtelte Wiederholungen, „Begründen Sie, dass die Sprache Frog4 nicht regulär ist“ – Vorlage für Aufgabe 2); Abi 2021 eA Aufgabe E, Teile c und d (AbiCode2: geschachtelte Blockkommentare, kontextfreie Grammatik, DKA – Vorlage für Aufgabe 5); Abi 2023 eA Aufgabe D, Teile a und b (Hostnamen, IP-Adressen – Vorlage für Aufgabe 3); Abi 2023 eA Nachschreibtermin Aufgabe D, Teil b (if-then-else: zwei Ableitungssequenzen, eindeutige Grammatik – Vorlage für Aufgabe 4).</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DS13, AB13, Merkblatt M10, AutomatenLab „Ableitungs-Rallye“ (#/rallye?aufgabe=12, Aufgaben 11–13) und „Grammatik-Tester“ (#/grammatik, Challenges 1, 2, 6, 10, 11), Exit-Ticket #/quiz?ds=13</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Stoppuhr für den Palindrom-Wettbewerb; Tafel: zwei Spalten „Palindrome deutsch“ / „Palindrome über {0, 1}“.</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0–15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„Spiegelkabinett“: Palindrom-Wettbewerb (3 min, Gruppen): längstes deutsches Palindrom („Reliefpfeiler“, „Rentner“ …). Dann: alle Palindrome über {0, 1} bis Länge 4 – und welche Regeln erzeugen genau diese? Hinweis aus Level 7/9: kein DEA, aber ein Kellerautomat.</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GA, Tafel, Folien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15–40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Kontextfreie Grammatik (Definition), Muster-Baukasten (aⁿbⁿ, Palindrome, Klammern, Wiederholung, Verkettung). Ableitungsbaum zu (())(). Terme mit Vorrang (E → E+T | T …). Mehrdeutigkeit an a+a*a. Zusammenhang kontextfrei ↔ Kellerautomat am Beispiel aⁿbⁿ. Schema „keine reguläre Grammatik“.</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Folien, M10</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40–75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AB13 gestuft (1 Basis, 2–4 Standard, 5 Profi). App: Rallye 11–13 (Baum-Modus), Grammatik-Tester Challenges 1, 2, 6, 10, 11. Zwischensicherung zu Aufgabe 2d (Begründung nicht regulär).</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AB13, iPads</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75–90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Aufgabe 4 im Plenum: zwei Bäume für die Smart-Home-Regel an die Tafel, Interpretationen durchspielen, Auflösung mit Endmarke. Merkblatt M10, Exit-Ticket #/quiz?ds=13, Hausaufgabe.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M10</w:t>
            </w:r>
          </w:p>
        </w:tc>
      </w:tr>
    </w:tbl>
    <w:p>
      <w:pPr>
        <w:spacing w:after="140" w:before="0"/>
      </w:pPr>
    </w:p>
    <w:p>
      <w:pPr>
        <w:keepNext/>
        <w:spacing w:after="100" w:before="260"/>
      </w:pPr>
      <w:r>
        <w:rPr>
          <w:rFonts w:ascii="Cambria" w:cs="Cambria" w:eastAsia="Cambria" w:hAnsi="Cambria"/>
          <w:b/>
          <w:bCs/>
          <w:color w:val="0E6455"/>
          <w:sz w:val="27"/>
          <w:szCs w:val="27"/>
        </w:rPr>
        <w:t xml:space="preserve">Lösungen AB13</w:t>
      </w:r>
    </w:p>
    <w:p>
      <w:pPr>
        <w:keepNext/>
        <w:spacing w:after="60" w:before="160"/>
      </w:pPr>
      <w:r>
        <w:rPr>
          <w:rFonts w:ascii="Calibri" w:cs="Calibri" w:eastAsia="Calibri" w:hAnsi="Calibri"/>
          <w:b/>
          <w:bCs/>
          <w:color w:val="B26A0F"/>
          <w:sz w:val="23"/>
          <w:szCs w:val="23"/>
        </w:rPr>
        <w:t xml:space="preserve">Aufgabe 1 – Spiegel und Klammern</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7144"/>
        <w:gridCol w:w="2722"/>
      </w:tblGrid>
      <w:tr>
        <w:trPr>
          <w:cantSplit/>
        </w:trPr>
        <w:tc>
          <w:tcPr>
            <w:tcW w:type="dxa" w:w="7144"/>
            <w:tcBorders>
              <w:top w:val="none" w:color="FFFFFF" w:sz="0"/>
              <w:left w:val="none" w:color="FFFFFF" w:sz="0"/>
              <w:bottom w:val="none" w:color="FFFFFF" w:sz="0"/>
              <w:right w:val="none" w:color="FFFFFF" w:sz="0"/>
            </w:tcBorders>
            <w:tcMar>
              <w:top w:type="dxa" w:w="0"/>
              <w:left w:type="dxa" w:w="0"/>
              <w:bottom w:type="dxa" w:w="0"/>
              <w:right w:type="dxa" w:w="80"/>
            </w:tcMar>
          </w:tcPr>
          <w:p>
            <w:pPr>
              <w:pStyle w:val="ListParagraph"/>
              <w:numPr>
                <w:ilvl w:val="0"/>
                <w:numId w:val="2"/>
              </w:numPr>
              <w:spacing w:after="60" w:line="264"/>
            </w:pPr>
            <w:r>
              <w:rPr>
                <w:rFonts w:ascii="Calibri" w:cs="Calibri" w:eastAsia="Calibri" w:hAnsi="Calibri"/>
                <w:color w:val="1F2A2E"/>
                <w:sz w:val="22"/>
                <w:szCs w:val="22"/>
              </w:rPr>
              <w:t xml:space="preserve">a) S ⇒ 0S0 ⇒ 01S10 ⇒ 0110</w:t>
            </w:r>
          </w:p>
          <w:p>
            <w:pPr>
              <w:pStyle w:val="ListParagraph"/>
              <w:numPr>
                <w:ilvl w:val="0"/>
                <w:numId w:val="2"/>
              </w:numPr>
              <w:spacing w:after="60" w:line="264"/>
            </w:pPr>
            <w:r>
              <w:rPr>
                <w:rFonts w:ascii="Calibri" w:cs="Calibri" w:eastAsia="Calibri" w:hAnsi="Calibri"/>
                <w:color w:val="1F2A2E"/>
                <w:sz w:val="22"/>
                <w:szCs w:val="22"/>
              </w:rPr>
              <w:t xml:space="preserve">b) S ⇒ (S)S ⇒ ((S)S)S ⇒ (()S)S ⇒ (())S ⇒ (())(S)S ⇒ (())()S ⇒ (())()</w:t>
            </w:r>
          </w:p>
          <w:p>
            <w:pPr>
              <w:pStyle w:val="ListParagraph"/>
              <w:numPr>
                <w:ilvl w:val="0"/>
                <w:numId w:val="2"/>
              </w:numPr>
              <w:spacing w:after="60" w:line="264"/>
            </w:pPr>
            <w:r>
              <w:rPr>
                <w:rFonts w:ascii="Calibri" w:cs="Calibri" w:eastAsia="Calibri" w:hAnsi="Calibri"/>
                <w:color w:val="1F2A2E"/>
                <w:sz w:val="22"/>
                <w:szCs w:val="22"/>
              </w:rPr>
              <w:t xml:space="preserve">c) S → aSb | c, z. B. S ⇒ aSb ⇒ aaSbb ⇒ aacbb.</w:t>
            </w:r>
          </w:p>
        </w:tc>
        <w:tc>
          <w:tcPr>
            <w:tcW w:type="dxa" w:w="2722"/>
            <w:tcBorders>
              <w:top w:val="none" w:color="FFFFFF" w:sz="0"/>
              <w:left w:val="none" w:color="FFFFFF" w:sz="0"/>
              <w:bottom w:val="none" w:color="FFFFFF" w:sz="0"/>
              <w:right w:val="none" w:color="FFFFFF" w:sz="0"/>
            </w:tcBorders>
            <w:tcMar>
              <w:top w:type="dxa" w:w="0"/>
              <w:left w:type="dxa" w:w="80"/>
              <w:bottom w:type="dxa" w:w="0"/>
              <w:right w:type="dxa" w:w="0"/>
            </w:tcMar>
          </w:tcPr>
          <w:p>
            <w:pPr>
              <w:keepNext/>
              <w:spacing w:after="20" w:before="60"/>
              <w:jc w:val="center"/>
            </w:pPr>
            <w:r>
              <w:drawing>
                <wp:inline distT="0" distB="0" distL="0" distR="0">
                  <wp:extent cx="1228725" cy="1104900"/>
                  <wp:effectExtent t="0" r="0" b="0" l="0"/>
                  <wp:docPr id="1" name="baum_0110.png" descr="Baum zu 0110" title="Baum zu 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28725" cy="110490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Baum zu 0110</w:t>
            </w:r>
          </w:p>
        </w:tc>
      </w:tr>
    </w:tbl>
    <w:p>
      <w:pPr>
        <w:pStyle w:val="ListParagraph"/>
        <w:numPr>
          <w:ilvl w:val="0"/>
          <w:numId w:val="2"/>
        </w:numPr>
        <w:spacing w:after="60" w:line="264"/>
      </w:pPr>
      <w:r>
        <w:rPr>
          <w:rFonts w:ascii="Calibri" w:cs="Calibri" w:eastAsia="Calibri" w:hAnsi="Calibri"/>
          <w:color w:val="1F2A2E"/>
          <w:sz w:val="22"/>
          <w:szCs w:val="22"/>
        </w:rPr>
        <w:t xml:space="preserve">d) Angenommen, es gäbe eine reguläre Grammatik. Dann gäbe es auch einen DEA mit k Zuständen für L. Er liest die k + 1 Präfixe ε, a, aa, …, aᵏ. Nach dem Schubfachprinzip landet er für zwei davon, aⁱ und aʲ mit i ≠ j, im selben Zustand. Dann verarbeitet er aⁱcbⁱ und aʲcbⁱ gleich – akzeptiert also beide oder keines. aⁱcbⁱ gehört zu L, aʲcbⁱ nicht. Widerspruch. (Kurz: Der Automat müsste sich die unbeschränkte Anzahl der a merken.)</w:t>
      </w:r>
    </w:p>
    <w:p>
      <w:pPr>
        <w:keepNext/>
        <w:spacing w:after="60" w:before="160"/>
      </w:pPr>
      <w:r>
        <w:rPr>
          <w:rFonts w:ascii="Calibri" w:cs="Calibri" w:eastAsia="Calibri" w:hAnsi="Calibri"/>
          <w:b/>
          <w:bCs/>
          <w:color w:val="B26A0F"/>
          <w:sz w:val="23"/>
          <w:szCs w:val="23"/>
        </w:rPr>
        <w:t xml:space="preserve">Aufgabe 2 – Der Tanz-Roboter</w:t>
      </w:r>
    </w:p>
    <w:p>
      <w:pPr>
        <w:pStyle w:val="ListParagraph"/>
        <w:numPr>
          <w:ilvl w:val="0"/>
          <w:numId w:val="2"/>
        </w:numPr>
        <w:spacing w:after="60" w:line="264"/>
      </w:pPr>
      <w:r>
        <w:rPr>
          <w:rFonts w:ascii="Calibri" w:cs="Calibri" w:eastAsia="Calibri" w:hAnsi="Calibri"/>
          <w:color w:val="1F2A2E"/>
          <w:sz w:val="22"/>
          <w:szCs w:val="22"/>
        </w:rPr>
        <w:t xml:space="preserve">a) 2(s3(d))# = sdddsddd#  (s ddd, zweimal).</w:t>
      </w:r>
    </w:p>
    <w:p>
      <w:pPr>
        <w:pStyle w:val="ListParagraph"/>
        <w:numPr>
          <w:ilvl w:val="0"/>
          <w:numId w:val="2"/>
        </w:numPr>
        <w:spacing w:after="60" w:line="264"/>
      </w:pPr>
      <w:r>
        <w:rPr>
          <w:rFonts w:ascii="Calibri" w:cs="Calibri" w:eastAsia="Calibri" w:hAnsi="Calibri"/>
          <w:color w:val="1F2A2E"/>
          <w:sz w:val="22"/>
          <w:szCs w:val="22"/>
        </w:rPr>
        <w:t xml:space="preserve">b) S ⇒ P# ⇒ BP# ⇒ 3(P)P# ⇒ 3(BP)P# ⇒ 3(sP)P# ⇒ 3(sB)P# ⇒ 3(s2(P))P# ⇒ 3(s2(B))P# ⇒ 3(s2(d))P# ⇒ 3(s2(d))B# ⇒ 3(s2(d))s#</w:t>
      </w:r>
    </w:p>
    <w:p>
      <w:pPr>
        <w:keepNext/>
        <w:spacing w:after="20" w:before="60"/>
        <w:jc w:val="center"/>
      </w:pPr>
      <w:r>
        <w:drawing>
          <wp:inline distT="0" distB="0" distL="0" distR="0">
            <wp:extent cx="2019300" cy="3590925"/>
            <wp:effectExtent t="0" r="0" b="0" l="0"/>
            <wp:docPr id="1" name="baum_tanz.png" descr="Ableitungsbaum zu 3(s2(d))s#" title="Ableitungsbaum zu 3(s2(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19300" cy="3590925"/>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Ableitungsbaum zu 3(s2(d))s#</w:t>
      </w:r>
    </w:p>
    <w:p>
      <w:pPr>
        <w:pStyle w:val="ListParagraph"/>
        <w:numPr>
          <w:ilvl w:val="0"/>
          <w:numId w:val="2"/>
        </w:numPr>
        <w:spacing w:after="60" w:line="264"/>
      </w:pPr>
      <w:r>
        <w:rPr>
          <w:rFonts w:ascii="Calibri" w:cs="Calibri" w:eastAsia="Calibri" w:hAnsi="Calibri"/>
          <w:color w:val="1F2A2E"/>
          <w:sz w:val="22"/>
          <w:szCs w:val="22"/>
        </w:rPr>
        <w:t xml:space="preserve">c) Klammern entstehen nur durch die Regeln B → 2(P) und B → 3(P). Diese erzeugen öffnende und schließende Klammer </w:t>
      </w:r>
      <w:r>
        <w:rPr>
          <w:rFonts w:ascii="Calibri" w:cs="Calibri" w:eastAsia="Calibri" w:hAnsi="Calibri"/>
          <w:b/>
          <w:bCs/>
          <w:color w:val="1F2A2E"/>
          <w:sz w:val="22"/>
          <w:szCs w:val="22"/>
        </w:rPr>
        <w:t xml:space="preserve">gleichzeitig</w:t>
      </w:r>
      <w:r>
        <w:rPr>
          <w:rFonts w:ascii="Calibri" w:cs="Calibri" w:eastAsia="Calibri" w:hAnsi="Calibri"/>
          <w:color w:val="1F2A2E"/>
          <w:sz w:val="22"/>
          <w:szCs w:val="22"/>
        </w:rPr>
        <w:t xml:space="preserve">; P wird dazwischen abgeleitet. Daher gehört zu jeder öffnenden Klammer genau eine schließende, und die Verschachtelung ist korrekt.</w:t>
      </w:r>
    </w:p>
    <w:p>
      <w:pPr>
        <w:pStyle w:val="ListParagraph"/>
        <w:numPr>
          <w:ilvl w:val="0"/>
          <w:numId w:val="2"/>
        </w:numPr>
        <w:spacing w:after="60" w:line="264"/>
      </w:pPr>
      <w:r>
        <w:rPr>
          <w:rFonts w:ascii="Calibri" w:cs="Calibri" w:eastAsia="Calibri" w:hAnsi="Calibri"/>
          <w:color w:val="1F2A2E"/>
          <w:sz w:val="22"/>
          <w:szCs w:val="22"/>
        </w:rPr>
        <w:t xml:space="preserve">d) Die Programme 2(2(…2(s)…))# mit n öffnenden und n schließenden Klammern gehören zur Sprache. Ein DEA (bzw. eine reguläre Grammatik mit endlich vielen Nichtterminalen) mit k Zuständen kommt bei den k + 1 Präfixen „2(“, „2(2(“, … nach dem Schubfachprinzip zweimal in denselben Zustand – für i ≠ j öffnende Klammern. Dann behandelt er „2(“ⁱ s )ⁱ# und „2(“ʲ s )ⁱ# gleich, obwohl nur das erste korrekt ist. Also gibt es keine reguläre Grammatik. Nur bei begrenzter Schachtelungstiefe wäre die Sprache regulär.</w:t>
      </w:r>
    </w:p>
    <w:p>
      <w:pPr>
        <w:keepNext/>
        <w:spacing w:after="60" w:before="160"/>
      </w:pPr>
      <w:r>
        <w:rPr>
          <w:rFonts w:ascii="Calibri" w:cs="Calibri" w:eastAsia="Calibri" w:hAnsi="Calibri"/>
          <w:b/>
          <w:bCs/>
          <w:color w:val="B26A0F"/>
          <w:sz w:val="23"/>
          <w:szCs w:val="23"/>
        </w:rPr>
        <w:t xml:space="preserve">Aufgabe 3 – Hostnamen</w:t>
      </w:r>
    </w:p>
    <w:p>
      <w:pPr>
        <w:spacing w:after="40" w:before="0" w:line="276"/>
        <w:jc w:val="left"/>
      </w:pPr>
      <w:r>
        <w:rPr>
          <w:rFonts w:ascii="Calibri" w:cs="Calibri" w:eastAsia="Calibri" w:hAnsi="Calibri"/>
          <w:color w:val="1F2A2E"/>
          <w:sz w:val="22"/>
          <w:szCs w:val="22"/>
        </w:rPr>
        <w:t xml:space="preserve">a) Darstellung (jeweils linkestes Nichtterminal ersetzt):</w:t>
      </w:r>
    </w:p>
    <w:p>
      <w:pPr>
        <w:spacing w:after="100" w:before="0" w:line="276"/>
        <w:ind w:left="360"/>
        <w:jc w:val="left"/>
      </w:pPr>
      <w:r>
        <w:rPr>
          <w:rFonts w:ascii="Calibri" w:cs="Calibri" w:eastAsia="Calibri" w:hAnsi="Calibri"/>
          <w:color w:val="1F2A2E"/>
          <w:sz w:val="20"/>
          <w:szCs w:val="20"/>
        </w:rPr>
        <w:t xml:space="preserve">S ⇒ L.E ⇒ DR.E ⇒ lR.E ⇒ lDR.E ⇒ lkR.E ⇒ lk-R.E ⇒ lk-ZR.E ⇒ lk-2R.E ⇒ lk-2.E ⇒ lk-2.DD ⇒ lk-2.dD ⇒ lk-2.de</w:t>
      </w:r>
    </w:p>
    <w:p>
      <w:pPr>
        <w:pStyle w:val="ListParagraph"/>
        <w:numPr>
          <w:ilvl w:val="0"/>
          <w:numId w:val="2"/>
        </w:numPr>
        <w:spacing w:after="60" w:line="264"/>
      </w:pPr>
      <w:r>
        <w:rPr>
          <w:rFonts w:ascii="Calibri" w:cs="Calibri" w:eastAsia="Calibri" w:hAnsi="Calibri"/>
          <w:color w:val="1F2A2E"/>
          <w:sz w:val="22"/>
          <w:szCs w:val="22"/>
        </w:rPr>
        <w:t xml:space="preserve">b) Ein Hostname besteht aus einem oder mehreren </w:t>
      </w:r>
      <w:r>
        <w:rPr>
          <w:rFonts w:ascii="Calibri" w:cs="Calibri" w:eastAsia="Calibri" w:hAnsi="Calibri"/>
          <w:b/>
          <w:bCs/>
          <w:color w:val="1F2A2E"/>
          <w:sz w:val="22"/>
          <w:szCs w:val="22"/>
        </w:rPr>
        <w:t xml:space="preserve">Labels</w:t>
      </w:r>
      <w:r>
        <w:rPr>
          <w:rFonts w:ascii="Calibri" w:cs="Calibri" w:eastAsia="Calibri" w:hAnsi="Calibri"/>
          <w:color w:val="1F2A2E"/>
          <w:sz w:val="22"/>
          <w:szCs w:val="22"/>
        </w:rPr>
        <w:t xml:space="preserve">, jeweils gefolgt von einem Punkt, und endet mit einer </w:t>
      </w:r>
      <w:r>
        <w:rPr>
          <w:rFonts w:ascii="Calibri" w:cs="Calibri" w:eastAsia="Calibri" w:hAnsi="Calibri"/>
          <w:b/>
          <w:bCs/>
          <w:color w:val="1F2A2E"/>
          <w:sz w:val="22"/>
          <w:szCs w:val="22"/>
        </w:rPr>
        <w:t xml:space="preserve">Endung aus genau zwei Buchstaben</w:t>
      </w:r>
      <w:r>
        <w:rPr>
          <w:rFonts w:ascii="Calibri" w:cs="Calibri" w:eastAsia="Calibri" w:hAnsi="Calibri"/>
          <w:color w:val="1F2A2E"/>
          <w:sz w:val="22"/>
          <w:szCs w:val="22"/>
        </w:rPr>
        <w:t xml:space="preserve"> (E → DD). Jedes Label beginnt mit einem Buchstaben (L → DR), danach folgen beliebig viele Buchstaben, Ziffern und Minuszeichen (R).</w:t>
      </w:r>
    </w:p>
    <w:p>
      <w:pPr>
        <w:pStyle w:val="ListParagraph"/>
        <w:numPr>
          <w:ilvl w:val="0"/>
          <w:numId w:val="2"/>
        </w:numPr>
        <w:spacing w:after="60" w:line="264"/>
      </w:pPr>
      <w:r>
        <w:rPr>
          <w:rFonts w:ascii="Calibri" w:cs="Calibri" w:eastAsia="Calibri" w:hAnsi="Calibri"/>
          <w:color w:val="1F2A2E"/>
          <w:sz w:val="22"/>
          <w:szCs w:val="22"/>
        </w:rPr>
        <w:t xml:space="preserve">c) Ein Label darf nicht mit „-“ enden. Eine mögliche Lösung (L, M ersetzen L, R):</w:t>
      </w: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6F8F8" w:color="auto" w:val="clear"/>
            <w:tcMar>
              <w:top w:type="dxa" w:w="120"/>
              <w:left w:type="dxa" w:w="200"/>
              <w:bottom w:type="dxa" w:w="100"/>
              <w:right w:type="dxa" w:w="200"/>
            </w:tcMar>
            <w:vAlign w:val="top"/>
          </w:tcPr>
          <w:p>
            <w:pPr>
              <w:spacing w:after="30" w:before="0" w:line="276"/>
              <w:ind w:left="280"/>
              <w:jc w:val="left"/>
            </w:pPr>
            <w:r>
              <w:rPr>
                <w:rFonts w:ascii="Calibri" w:cs="Calibri" w:eastAsia="Calibri" w:hAnsi="Calibri"/>
                <w:color w:val="1F2A2E"/>
                <w:sz w:val="20"/>
                <w:szCs w:val="20"/>
              </w:rPr>
              <w:t xml:space="preserve">S → L.S | L.E</w:t>
            </w:r>
          </w:p>
          <w:p>
            <w:pPr>
              <w:spacing w:after="30" w:before="0" w:line="276"/>
              <w:ind w:left="280"/>
              <w:jc w:val="left"/>
            </w:pPr>
            <w:r>
              <w:rPr>
                <w:rFonts w:ascii="Calibri" w:cs="Calibri" w:eastAsia="Calibri" w:hAnsi="Calibri"/>
                <w:color w:val="1F2A2E"/>
                <w:sz w:val="20"/>
                <w:szCs w:val="20"/>
              </w:rPr>
              <w:t xml:space="preserve">L → D | DM</w:t>
            </w:r>
          </w:p>
          <w:p>
            <w:pPr>
              <w:spacing w:after="30" w:before="0" w:line="276"/>
              <w:ind w:left="280"/>
              <w:jc w:val="left"/>
            </w:pPr>
            <w:r>
              <w:rPr>
                <w:rFonts w:ascii="Calibri" w:cs="Calibri" w:eastAsia="Calibri" w:hAnsi="Calibri"/>
                <w:color w:val="1F2A2E"/>
                <w:sz w:val="20"/>
                <w:szCs w:val="20"/>
              </w:rPr>
              <w:t xml:space="preserve">M → DM | ZM | -M | D | Z</w:t>
            </w:r>
          </w:p>
          <w:p>
            <w:pPr>
              <w:spacing w:after="30" w:before="0" w:line="276"/>
              <w:ind w:left="280"/>
              <w:jc w:val="left"/>
            </w:pPr>
            <w:r>
              <w:rPr>
                <w:rFonts w:ascii="Calibri" w:cs="Calibri" w:eastAsia="Calibri" w:hAnsi="Calibri"/>
                <w:color w:val="1F2A2E"/>
                <w:sz w:val="20"/>
                <w:szCs w:val="20"/>
              </w:rPr>
              <w:t xml:space="preserve">E → DD</w:t>
            </w:r>
          </w:p>
          <w:p>
            <w:pPr>
              <w:spacing w:after="30" w:before="0" w:line="276"/>
              <w:ind w:left="280"/>
              <w:jc w:val="left"/>
            </w:pPr>
            <w:r>
              <w:rPr>
                <w:rFonts w:ascii="Calibri" w:cs="Calibri" w:eastAsia="Calibri" w:hAnsi="Calibri"/>
                <w:color w:val="1F2A2E"/>
                <w:sz w:val="20"/>
                <w:szCs w:val="20"/>
              </w:rPr>
              <w:t xml:space="preserve">D → a | b | … | z</w:t>
            </w:r>
          </w:p>
          <w:p>
            <w:pPr>
              <w:spacing w:after="30" w:before="0" w:line="276"/>
              <w:ind w:left="280"/>
              <w:jc w:val="left"/>
            </w:pPr>
            <w:r>
              <w:rPr>
                <w:rFonts w:ascii="Calibri" w:cs="Calibri" w:eastAsia="Calibri" w:hAnsi="Calibri"/>
                <w:color w:val="1F2A2E"/>
                <w:sz w:val="20"/>
                <w:szCs w:val="20"/>
              </w:rPr>
              <w:t xml:space="preserve">Z → 0 | 1 | … | 9</w:t>
            </w:r>
          </w:p>
        </w:tc>
      </w:tr>
    </w:tbl>
    <w:p>
      <w:pPr>
        <w:spacing w:after="120" w:before="0"/>
      </w:pPr>
    </w:p>
    <w:p>
      <w:pPr>
        <w:spacing w:after="100" w:before="0" w:line="276"/>
        <w:jc w:val="left"/>
      </w:pPr>
      <w:r>
        <w:rPr>
          <w:rFonts w:ascii="Calibri" w:cs="Calibri" w:eastAsia="Calibri" w:hAnsi="Calibri"/>
          <w:color w:val="1F2A2E"/>
          <w:sz w:val="20"/>
          <w:szCs w:val="20"/>
        </w:rPr>
        <w:t xml:space="preserve">Kontrolle: S ⇒ L.E ⇒ DM.E ⇒ lM.E ⇒ lDM.E ⇒ lkM.E ⇒ lk-M.E ⇒ lk-Z.E ⇒ lk-2.E ⇒ lk-2.DD ⇒ lk-2.dD ⇒ lk-2.de; mpg-.de ist nicht mehr ableitbar, weil M nie mit „-“ enden kann (alle Regeln für M enden mit M, D oder Z).</w:t>
      </w:r>
    </w:p>
    <w:p>
      <w:pPr>
        <w:pStyle w:val="ListParagraph"/>
        <w:numPr>
          <w:ilvl w:val="0"/>
          <w:numId w:val="2"/>
        </w:numPr>
        <w:spacing w:after="60" w:line="264"/>
      </w:pPr>
      <w:r>
        <w:rPr>
          <w:rFonts w:ascii="Calibri" w:cs="Calibri" w:eastAsia="Calibri" w:hAnsi="Calibri"/>
          <w:color w:val="1F2A2E"/>
          <w:sz w:val="22"/>
          <w:szCs w:val="22"/>
        </w:rPr>
        <w:t xml:space="preserve">d) Ja. Es wird weder unbeschränkt gezählt noch verschachtelt: Ein Automat muss sich nur merken, ob er am Anfang eines Labels ist, ob das letzte Zeichen ein Minus war und ob nach dem letzten Punkt bisher genau ein bzw. zwei Buchstaben kamen – endlich viele Fälle. Eine rechtsreguläre Grammatik (b = Buchstabe, z = Ziffer; aus einem DEA übersetzt und vom Programm geprüft):</w:t>
      </w: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6F8F8" w:color="auto" w:val="clear"/>
            <w:tcMar>
              <w:top w:type="dxa" w:w="120"/>
              <w:left w:type="dxa" w:w="200"/>
              <w:bottom w:type="dxa" w:w="100"/>
              <w:right w:type="dxa" w:w="200"/>
            </w:tcMar>
            <w:vAlign w:val="top"/>
          </w:tcPr>
          <w:p>
            <w:pPr>
              <w:spacing w:after="30" w:before="0" w:line="276"/>
              <w:ind w:left="280"/>
              <w:jc w:val="left"/>
            </w:pPr>
            <w:r>
              <w:rPr>
                <w:rFonts w:ascii="Calibri" w:cs="Calibri" w:eastAsia="Calibri" w:hAnsi="Calibri"/>
                <w:color w:val="1F2A2E"/>
                <w:sz w:val="20"/>
                <w:szCs w:val="20"/>
              </w:rPr>
              <w:t xml:space="preserve">S0 → bS1</w:t>
            </w:r>
          </w:p>
          <w:p>
            <w:pPr>
              <w:spacing w:after="30" w:before="0" w:line="276"/>
              <w:ind w:left="280"/>
              <w:jc w:val="left"/>
            </w:pPr>
            <w:r>
              <w:rPr>
                <w:rFonts w:ascii="Calibri" w:cs="Calibri" w:eastAsia="Calibri" w:hAnsi="Calibri"/>
                <w:color w:val="1F2A2E"/>
                <w:sz w:val="20"/>
                <w:szCs w:val="20"/>
              </w:rPr>
              <w:t xml:space="preserve">S1 → bS1 | zS1 | -S2 | .S3</w:t>
            </w:r>
          </w:p>
          <w:p>
            <w:pPr>
              <w:spacing w:after="30" w:before="0" w:line="276"/>
              <w:ind w:left="280"/>
              <w:jc w:val="left"/>
            </w:pPr>
            <w:r>
              <w:rPr>
                <w:rFonts w:ascii="Calibri" w:cs="Calibri" w:eastAsia="Calibri" w:hAnsi="Calibri"/>
                <w:color w:val="1F2A2E"/>
                <w:sz w:val="20"/>
                <w:szCs w:val="20"/>
              </w:rPr>
              <w:t xml:space="preserve">S2 → bS1 | zS1 | -S2</w:t>
            </w:r>
          </w:p>
          <w:p>
            <w:pPr>
              <w:spacing w:after="30" w:before="0" w:line="276"/>
              <w:ind w:left="280"/>
              <w:jc w:val="left"/>
            </w:pPr>
            <w:r>
              <w:rPr>
                <w:rFonts w:ascii="Calibri" w:cs="Calibri" w:eastAsia="Calibri" w:hAnsi="Calibri"/>
                <w:color w:val="1F2A2E"/>
                <w:sz w:val="20"/>
                <w:szCs w:val="20"/>
              </w:rPr>
              <w:t xml:space="preserve">S3 → bS4</w:t>
            </w:r>
          </w:p>
          <w:p>
            <w:pPr>
              <w:spacing w:after="30" w:before="0" w:line="276"/>
              <w:ind w:left="280"/>
              <w:jc w:val="left"/>
            </w:pPr>
            <w:r>
              <w:rPr>
                <w:rFonts w:ascii="Calibri" w:cs="Calibri" w:eastAsia="Calibri" w:hAnsi="Calibri"/>
                <w:color w:val="1F2A2E"/>
                <w:sz w:val="20"/>
                <w:szCs w:val="20"/>
              </w:rPr>
              <w:t xml:space="preserve">S4 → bS5 | zS1 | -S2 | .S3</w:t>
            </w:r>
          </w:p>
          <w:p>
            <w:pPr>
              <w:spacing w:after="30" w:before="0" w:line="276"/>
              <w:ind w:left="280"/>
              <w:jc w:val="left"/>
            </w:pPr>
            <w:r>
              <w:rPr>
                <w:rFonts w:ascii="Calibri" w:cs="Calibri" w:eastAsia="Calibri" w:hAnsi="Calibri"/>
                <w:color w:val="1F2A2E"/>
                <w:sz w:val="20"/>
                <w:szCs w:val="20"/>
              </w:rPr>
              <w:t xml:space="preserve">S5 → bS1 | zS1 | -S2 | .S3 | ε</w:t>
            </w:r>
          </w:p>
        </w:tc>
      </w:tr>
    </w:tbl>
    <w:p>
      <w:pPr>
        <w:spacing w:after="120" w:before="0"/>
      </w:pPr>
    </w:p>
    <w:p>
      <w:pPr>
        <w:spacing w:after="100" w:before="0" w:line="276"/>
        <w:jc w:val="left"/>
      </w:pPr>
      <w:r>
        <w:rPr>
          <w:rFonts w:ascii="Calibri" w:cs="Calibri" w:eastAsia="Calibri" w:hAnsi="Calibri"/>
          <w:color w:val="1F2A2E"/>
          <w:sz w:val="20"/>
          <w:szCs w:val="20"/>
        </w:rPr>
        <w:t xml:space="preserve">Die kontextfreie Grammatik G</w:t>
      </w:r>
      <w:r>
        <w:rPr>
          <w:rFonts w:ascii="Calibri" w:cs="Calibri" w:eastAsia="Calibri" w:hAnsi="Calibri"/>
          <w:color w:val="1F2A2E"/>
          <w:sz w:val="20"/>
          <w:szCs w:val="20"/>
          <w:vertAlign w:val="subscript"/>
        </w:rPr>
        <w:t xml:space="preserve">H</w:t>
      </w:r>
      <w:r>
        <w:rPr>
          <w:rFonts w:ascii="Calibri" w:cs="Calibri" w:eastAsia="Calibri" w:hAnsi="Calibri"/>
          <w:color w:val="1F2A2E"/>
          <w:sz w:val="20"/>
          <w:szCs w:val="20"/>
        </w:rPr>
        <w:t xml:space="preserve"> ist also nur bequemer lesbar; die Sprache selbst ist regulär (vgl. „Grammatik nicht regulär ≠ Sprache nicht regulär“, Level 12).</w:t>
      </w:r>
    </w:p>
    <w:p>
      <w:pPr>
        <w:keepNext/>
        <w:spacing w:after="60" w:before="160"/>
      </w:pPr>
      <w:r>
        <w:rPr>
          <w:rFonts w:ascii="Calibri" w:cs="Calibri" w:eastAsia="Calibri" w:hAnsi="Calibri"/>
          <w:b/>
          <w:bCs/>
          <w:color w:val="B26A0F"/>
          <w:sz w:val="23"/>
          <w:szCs w:val="23"/>
        </w:rPr>
        <w:t xml:space="preserve">Aufgabe 4 – Wenn – dann – sonst</w:t>
      </w:r>
    </w:p>
    <w:p>
      <w:pPr>
        <w:keepNext/>
        <w:spacing w:after="40" w:before="0" w:line="276"/>
        <w:jc w:val="left"/>
      </w:pPr>
      <w:r>
        <w:rPr>
          <w:rFonts w:ascii="Calibri" w:cs="Calibri" w:eastAsia="Calibri" w:hAnsi="Calibri"/>
          <w:color w:val="1F2A2E"/>
          <w:sz w:val="22"/>
          <w:szCs w:val="22"/>
        </w:rPr>
        <w:t xml:space="preserve">a) Zwei verschiedene Linksableitungen (und damit Bäume):</w:t>
      </w:r>
    </w:p>
    <w:p>
      <w:pPr>
        <w:pStyle w:val="ListParagraph"/>
        <w:numPr>
          <w:ilvl w:val="0"/>
          <w:numId w:val="2"/>
        </w:numPr>
        <w:spacing w:after="60" w:line="264"/>
      </w:pPr>
      <w:r>
        <w:rPr>
          <w:rFonts w:ascii="Calibri" w:cs="Calibri" w:eastAsia="Calibri" w:hAnsi="Calibri"/>
          <w:color w:val="1F2A2E"/>
          <w:sz w:val="19"/>
          <w:szCs w:val="19"/>
        </w:rPr>
        <w:t xml:space="preserve">1: S ⇒ V ⇒ wenn B dann S ⇒ wenn h dann S ⇒ wenn h dann V ⇒ wenn h dann wenn B dann S sonst S ⇒ wenn h dann wenn k dann S sonst S ⇒ wenn h dann wenn k dann an sonst S ⇒ wenn h dann wenn k dann an sonst aus</w:t>
      </w:r>
    </w:p>
    <w:p>
      <w:pPr>
        <w:pStyle w:val="ListParagraph"/>
        <w:numPr>
          <w:ilvl w:val="0"/>
          <w:numId w:val="2"/>
        </w:numPr>
        <w:spacing w:after="60" w:line="264"/>
      </w:pPr>
      <w:r>
        <w:rPr>
          <w:rFonts w:ascii="Calibri" w:cs="Calibri" w:eastAsia="Calibri" w:hAnsi="Calibri"/>
          <w:color w:val="1F2A2E"/>
          <w:sz w:val="19"/>
          <w:szCs w:val="19"/>
        </w:rPr>
        <w:t xml:space="preserve">2: S ⇒ V ⇒ wenn B dann S sonst S ⇒ wenn h dann S sonst S ⇒ wenn h dann V sonst S ⇒ wenn h dann wenn B dann S sonst S ⇒ wenn h dann wenn k dann S sonst S ⇒ wenn h dann wenn k dann an sonst S ⇒ wenn h dann wenn k dann an sonst aus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0"/>
              <w:left w:type="dxa" w:w="0"/>
              <w:bottom w:type="dxa" w:w="0"/>
              <w:right w:type="dxa" w:w="80"/>
            </w:tcMar>
          </w:tcPr>
          <w:p>
            <w:pPr>
              <w:keepNext/>
              <w:spacing w:after="20" w:before="60"/>
              <w:jc w:val="center"/>
            </w:pPr>
            <w:r>
              <w:drawing>
                <wp:inline distT="0" distB="0" distL="0" distR="0">
                  <wp:extent cx="3019425" cy="1990725"/>
                  <wp:effectExtent t="0" r="0" b="0" l="0"/>
                  <wp:docPr id="1" name="wenn_baum_1.png" descr="Baum 1: sonst gehört zum inneren wenn" title="Baum 1: sonst gehört zum inneren we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1990725"/>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Baum 1: sonst gehört zum inneren wenn</w:t>
            </w:r>
          </w:p>
        </w:tc>
        <w:tc>
          <w:tcPr>
            <w:tcW w:type="dxa" w:w="4933"/>
            <w:tcBorders>
              <w:top w:val="none" w:color="FFFFFF" w:sz="0"/>
              <w:left w:val="none" w:color="FFFFFF" w:sz="0"/>
              <w:bottom w:val="none" w:color="FFFFFF" w:sz="0"/>
              <w:right w:val="none" w:color="FFFFFF" w:sz="0"/>
            </w:tcBorders>
            <w:tcMar>
              <w:top w:type="dxa" w:w="0"/>
              <w:left w:type="dxa" w:w="80"/>
              <w:bottom w:type="dxa" w:w="0"/>
              <w:right w:type="dxa" w:w="0"/>
            </w:tcMar>
          </w:tcPr>
          <w:p>
            <w:pPr>
              <w:keepNext/>
              <w:spacing w:after="20" w:before="60"/>
              <w:jc w:val="center"/>
            </w:pPr>
            <w:r>
              <w:drawing>
                <wp:inline distT="0" distB="0" distL="0" distR="0">
                  <wp:extent cx="3019425" cy="2000250"/>
                  <wp:effectExtent t="0" r="0" b="0" l="0"/>
                  <wp:docPr id="1" name="wenn_baum_2.png" descr="Baum 2: sonst gehört zum äußeren wenn" title="Baum 2: sonst gehört zum äußeren we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200025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Baum 2: sonst gehört zum äußeren wenn</w:t>
            </w:r>
          </w:p>
        </w:tc>
      </w:tr>
    </w:tbl>
    <w:p>
      <w:pPr>
        <w:pStyle w:val="ListParagraph"/>
        <w:numPr>
          <w:ilvl w:val="0"/>
          <w:numId w:val="2"/>
        </w:numPr>
        <w:spacing w:after="60" w:line="264"/>
      </w:pPr>
      <w:r>
        <w:rPr>
          <w:rFonts w:ascii="Calibri" w:cs="Calibri" w:eastAsia="Calibri" w:hAnsi="Calibri"/>
          <w:color w:val="1F2A2E"/>
          <w:sz w:val="22"/>
          <w:szCs w:val="22"/>
        </w:rPr>
        <w:t xml:space="preserve">b) </w:t>
      </w:r>
      <w:r>
        <w:rPr>
          <w:rFonts w:ascii="Calibri" w:cs="Calibri" w:eastAsia="Calibri" w:hAnsi="Calibri"/>
          <w:b/>
          <w:bCs/>
          <w:color w:val="1F2A2E"/>
          <w:sz w:val="22"/>
          <w:szCs w:val="22"/>
        </w:rPr>
        <w:t xml:space="preserve">Interpretation 1</w:t>
      </w:r>
      <w:r>
        <w:rPr>
          <w:rFonts w:ascii="Calibri" w:cs="Calibri" w:eastAsia="Calibri" w:hAnsi="Calibri"/>
          <w:color w:val="1F2A2E"/>
          <w:sz w:val="22"/>
          <w:szCs w:val="22"/>
        </w:rPr>
        <w:t xml:space="preserve"> (Baum 1): Wenn jemand zu Hause ist: bei Kälte an, sonst aus. Ist niemand zu Hause, passiert nichts. </w:t>
      </w:r>
      <w:r>
        <w:rPr>
          <w:rFonts w:ascii="Calibri" w:cs="Calibri" w:eastAsia="Calibri" w:hAnsi="Calibri"/>
          <w:b/>
          <w:bCs/>
          <w:color w:val="1F2A2E"/>
          <w:sz w:val="22"/>
          <w:szCs w:val="22"/>
        </w:rPr>
        <w:t xml:space="preserve">Interpretation 2</w:t>
      </w:r>
      <w:r>
        <w:rPr>
          <w:rFonts w:ascii="Calibri" w:cs="Calibri" w:eastAsia="Calibri" w:hAnsi="Calibri"/>
          <w:color w:val="1F2A2E"/>
          <w:sz w:val="22"/>
          <w:szCs w:val="22"/>
        </w:rPr>
        <w:t xml:space="preserve"> (Baum 2): Wenn jemand zu Hause ist und es kalt ist: an; ist jemand zu Hause und es nicht kalt, passiert nichts; ist </w:t>
      </w:r>
      <w:r>
        <w:rPr>
          <w:rFonts w:ascii="Calibri" w:cs="Calibri" w:eastAsia="Calibri" w:hAnsi="Calibri"/>
          <w:b/>
          <w:bCs/>
          <w:color w:val="1F2A2E"/>
          <w:sz w:val="22"/>
          <w:szCs w:val="22"/>
        </w:rPr>
        <w:t xml:space="preserve">niemand zu Hause</w:t>
      </w:r>
      <w:r>
        <w:rPr>
          <w:rFonts w:ascii="Calibri" w:cs="Calibri" w:eastAsia="Calibri" w:hAnsi="Calibri"/>
          <w:color w:val="1F2A2E"/>
          <w:sz w:val="22"/>
          <w:szCs w:val="22"/>
        </w:rPr>
        <w:t xml:space="preserve">, wird die Heizung </w:t>
      </w:r>
      <w:r>
        <w:rPr>
          <w:rFonts w:ascii="Calibri" w:cs="Calibri" w:eastAsia="Calibri" w:hAnsi="Calibri"/>
          <w:b/>
          <w:bCs/>
          <w:color w:val="1F2A2E"/>
          <w:sz w:val="22"/>
          <w:szCs w:val="22"/>
        </w:rPr>
        <w:t xml:space="preserve">ausgeschaltet</w:t>
      </w:r>
      <w:r>
        <w:rPr>
          <w:rFonts w:ascii="Calibri" w:cs="Calibri" w:eastAsia="Calibri" w:hAnsi="Calibri"/>
          <w:color w:val="1F2A2E"/>
          <w:sz w:val="22"/>
          <w:szCs w:val="22"/>
        </w:rPr>
        <w:t xml:space="preserve">. Dieselbe Regel hätte also unterschiedliche Wirkungen – für ein Programm inakzeptabel.</w:t>
      </w:r>
    </w:p>
    <w:p>
      <w:pPr>
        <w:pStyle w:val="ListParagraph"/>
        <w:numPr>
          <w:ilvl w:val="0"/>
          <w:numId w:val="2"/>
        </w:numPr>
        <w:spacing w:after="60" w:line="264"/>
      </w:pPr>
      <w:r>
        <w:rPr>
          <w:rFonts w:ascii="Calibri" w:cs="Calibri" w:eastAsia="Calibri" w:hAnsi="Calibri"/>
          <w:color w:val="1F2A2E"/>
          <w:sz w:val="22"/>
          <w:szCs w:val="22"/>
        </w:rPr>
        <w:t xml:space="preserve">c) Mit einer Endmarke „ende“ (Alphabet erweitert) – jede Verzweigung wird explizit abgeschlossen:</w:t>
      </w: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6F8F8" w:color="auto" w:val="clear"/>
            <w:tcMar>
              <w:top w:type="dxa" w:w="120"/>
              <w:left w:type="dxa" w:w="200"/>
              <w:bottom w:type="dxa" w:w="100"/>
              <w:right w:type="dxa" w:w="200"/>
            </w:tcMar>
            <w:vAlign w:val="top"/>
          </w:tcPr>
          <w:p>
            <w:pPr>
              <w:spacing w:after="30" w:before="0" w:line="276"/>
              <w:ind w:left="280"/>
              <w:jc w:val="left"/>
            </w:pPr>
            <w:r>
              <w:rPr>
                <w:rFonts w:ascii="Calibri" w:cs="Calibri" w:eastAsia="Calibri" w:hAnsi="Calibri"/>
                <w:color w:val="1F2A2E"/>
                <w:sz w:val="20"/>
                <w:szCs w:val="20"/>
              </w:rPr>
              <w:t xml:space="preserve">S → an | aus | V</w:t>
            </w:r>
          </w:p>
          <w:p>
            <w:pPr>
              <w:spacing w:after="30" w:before="0" w:line="276"/>
              <w:ind w:left="280"/>
              <w:jc w:val="left"/>
            </w:pPr>
            <w:r>
              <w:rPr>
                <w:rFonts w:ascii="Calibri" w:cs="Calibri" w:eastAsia="Calibri" w:hAnsi="Calibri"/>
                <w:color w:val="1F2A2E"/>
                <w:sz w:val="20"/>
                <w:szCs w:val="20"/>
              </w:rPr>
              <w:t xml:space="preserve">V → wenn B dann S ende | wenn B dann S sonst S ende</w:t>
            </w:r>
          </w:p>
          <w:p>
            <w:pPr>
              <w:spacing w:after="30" w:before="0" w:line="276"/>
              <w:ind w:left="280"/>
              <w:jc w:val="left"/>
            </w:pPr>
            <w:r>
              <w:rPr>
                <w:rFonts w:ascii="Calibri" w:cs="Calibri" w:eastAsia="Calibri" w:hAnsi="Calibri"/>
                <w:color w:val="1F2A2E"/>
                <w:sz w:val="20"/>
                <w:szCs w:val="20"/>
              </w:rPr>
              <w:t xml:space="preserve">B → h | k</w:t>
            </w:r>
          </w:p>
        </w:tc>
      </w:tr>
    </w:tbl>
    <w:p>
      <w:pPr>
        <w:spacing w:after="120" w:before="0"/>
      </w:pPr>
    </w:p>
    <w:p>
      <w:pPr>
        <w:spacing w:after="100" w:before="0" w:line="276"/>
        <w:jc w:val="left"/>
      </w:pPr>
      <w:r>
        <w:rPr>
          <w:rFonts w:ascii="Calibri" w:cs="Calibri" w:eastAsia="Calibri" w:hAnsi="Calibri"/>
          <w:color w:val="1F2A2E"/>
          <w:sz w:val="20"/>
          <w:szCs w:val="20"/>
        </w:rPr>
        <w:t xml:space="preserve">Interpretation 1: </w:t>
      </w:r>
      <w:r>
        <w:rPr>
          <w:rFonts w:ascii="Consolas" w:cs="Consolas" w:eastAsia="Consolas" w:hAnsi="Consolas"/>
          <w:color w:val="0A4A3F"/>
          <w:sz w:val="19"/>
          <w:szCs w:val="19"/>
        </w:rPr>
        <w:t xml:space="preserve">wenn h dann wenn k dann an sonst aus ende ende</w:t>
      </w:r>
      <w:r>
        <w:rPr>
          <w:rFonts w:ascii="Calibri" w:cs="Calibri" w:eastAsia="Calibri" w:hAnsi="Calibri"/>
          <w:color w:val="1F2A2E"/>
          <w:sz w:val="20"/>
          <w:szCs w:val="20"/>
        </w:rPr>
        <w:t xml:space="preserve">, Interpretation 2: </w:t>
      </w:r>
      <w:r>
        <w:rPr>
          <w:rFonts w:ascii="Consolas" w:cs="Consolas" w:eastAsia="Consolas" w:hAnsi="Consolas"/>
          <w:color w:val="0A4A3F"/>
          <w:sz w:val="19"/>
          <w:szCs w:val="19"/>
        </w:rPr>
        <w:t xml:space="preserve">wenn h dann wenn k dann an ende sonst aus ende</w:t>
      </w:r>
      <w:r>
        <w:rPr>
          <w:rFonts w:ascii="Calibri" w:cs="Calibri" w:eastAsia="Calibri" w:hAnsi="Calibri"/>
          <w:color w:val="1F2A2E"/>
          <w:sz w:val="20"/>
          <w:szCs w:val="20"/>
        </w:rPr>
        <w:t xml:space="preserve">. Das Programm hat geprüft: Alle Programme bis Länge 14 haben genau einen Ableitungsbaum. </w:t>
      </w:r>
      <w:r>
        <w:rPr>
          <w:rFonts w:ascii="Calibri" w:cs="Calibri" w:eastAsia="Calibri" w:hAnsi="Calibri"/>
          <w:b/>
          <w:bCs/>
          <w:color w:val="1F2A2E"/>
          <w:sz w:val="20"/>
          <w:szCs w:val="20"/>
        </w:rPr>
        <w:t xml:space="preserve">Alternative ohne neues Symbol</w:t>
      </w:r>
      <w:r>
        <w:rPr>
          <w:rFonts w:ascii="Calibri" w:cs="Calibri" w:eastAsia="Calibri" w:hAnsi="Calibri"/>
          <w:color w:val="1F2A2E"/>
          <w:sz w:val="20"/>
          <w:szCs w:val="20"/>
        </w:rPr>
        <w:t xml:space="preserve"> (sonst gehört immer zum nächsten wenn; M = vollständige, U = unvollständige Verzweigung; gleiche Sprache wie G</w:t>
      </w:r>
      <w:r>
        <w:rPr>
          <w:rFonts w:ascii="Calibri" w:cs="Calibri" w:eastAsia="Calibri" w:hAnsi="Calibri"/>
          <w:color w:val="1F2A2E"/>
          <w:sz w:val="20"/>
          <w:szCs w:val="20"/>
          <w:vertAlign w:val="subscript"/>
        </w:rPr>
        <w:t xml:space="preserve">W</w:t>
      </w:r>
      <w:r>
        <w:rPr>
          <w:rFonts w:ascii="Calibri" w:cs="Calibri" w:eastAsia="Calibri" w:hAnsi="Calibri"/>
          <w:color w:val="1F2A2E"/>
          <w:sz w:val="20"/>
          <w:szCs w:val="20"/>
        </w:rPr>
        <w:t xml:space="preserve">, eindeutig):</w:t>
      </w: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6F8F8" w:color="auto" w:val="clear"/>
            <w:tcMar>
              <w:top w:type="dxa" w:w="120"/>
              <w:left w:type="dxa" w:w="200"/>
              <w:bottom w:type="dxa" w:w="100"/>
              <w:right w:type="dxa" w:w="200"/>
            </w:tcMar>
            <w:vAlign w:val="top"/>
          </w:tcPr>
          <w:p>
            <w:pPr>
              <w:spacing w:after="30" w:before="0" w:line="276"/>
              <w:ind w:left="280"/>
              <w:jc w:val="left"/>
            </w:pPr>
            <w:r>
              <w:rPr>
                <w:rFonts w:ascii="Calibri" w:cs="Calibri" w:eastAsia="Calibri" w:hAnsi="Calibri"/>
                <w:color w:val="1F2A2E"/>
                <w:sz w:val="20"/>
                <w:szCs w:val="20"/>
              </w:rPr>
              <w:t xml:space="preserve">S → M | U</w:t>
            </w:r>
          </w:p>
          <w:p>
            <w:pPr>
              <w:spacing w:after="30" w:before="0" w:line="276"/>
              <w:ind w:left="280"/>
              <w:jc w:val="left"/>
            </w:pPr>
            <w:r>
              <w:rPr>
                <w:rFonts w:ascii="Calibri" w:cs="Calibri" w:eastAsia="Calibri" w:hAnsi="Calibri"/>
                <w:color w:val="1F2A2E"/>
                <w:sz w:val="20"/>
                <w:szCs w:val="20"/>
              </w:rPr>
              <w:t xml:space="preserve">M → wenn B dann M sonst M | an | aus</w:t>
            </w:r>
          </w:p>
          <w:p>
            <w:pPr>
              <w:spacing w:after="30" w:before="0" w:line="276"/>
              <w:ind w:left="280"/>
              <w:jc w:val="left"/>
            </w:pPr>
            <w:r>
              <w:rPr>
                <w:rFonts w:ascii="Calibri" w:cs="Calibri" w:eastAsia="Calibri" w:hAnsi="Calibri"/>
                <w:color w:val="1F2A2E"/>
                <w:sz w:val="20"/>
                <w:szCs w:val="20"/>
              </w:rPr>
              <w:t xml:space="preserve">U → wenn B dann S | wenn B dann M sonst U</w:t>
            </w:r>
          </w:p>
          <w:p>
            <w:pPr>
              <w:spacing w:after="30" w:before="0" w:line="276"/>
              <w:ind w:left="280"/>
              <w:jc w:val="left"/>
            </w:pPr>
            <w:r>
              <w:rPr>
                <w:rFonts w:ascii="Calibri" w:cs="Calibri" w:eastAsia="Calibri" w:hAnsi="Calibri"/>
                <w:color w:val="1F2A2E"/>
                <w:sz w:val="20"/>
                <w:szCs w:val="20"/>
              </w:rPr>
              <w:t xml:space="preserve">B → h | k</w:t>
            </w:r>
          </w:p>
        </w:tc>
      </w:tr>
    </w:tbl>
    <w:p>
      <w:pPr>
        <w:spacing w:after="120" w:before="0"/>
      </w:pPr>
    </w:p>
    <w:p>
      <w:pPr>
        <w:keepNext/>
        <w:spacing w:after="60" w:before="160"/>
      </w:pPr>
      <w:r>
        <w:rPr>
          <w:rFonts w:ascii="Calibri" w:cs="Calibri" w:eastAsia="Calibri" w:hAnsi="Calibri"/>
          <w:b/>
          <w:bCs/>
          <w:color w:val="B26A0F"/>
          <w:sz w:val="23"/>
          <w:szCs w:val="23"/>
        </w:rPr>
        <w:t xml:space="preserve">Aufgabe 5 – Kommentare im Kommentar</w:t>
      </w:r>
    </w:p>
    <w:p>
      <w:pPr>
        <w:spacing w:after="40" w:before="0" w:line="276"/>
        <w:jc w:val="left"/>
      </w:pPr>
      <w:r>
        <w:rPr>
          <w:rFonts w:ascii="Calibri" w:cs="Calibri" w:eastAsia="Calibri" w:hAnsi="Calibri"/>
          <w:color w:val="1F2A2E"/>
          <w:sz w:val="22"/>
          <w:szCs w:val="22"/>
        </w:rPr>
        <w:t xml:space="preserve">a) Mögliche Grammatik (N = {S, K, Z, L}, Startsymbol S; S: Quelltext, K: Blockkommentar, Z: Zeilenkommentar, L: Inhalt eines Zeilenkommentars):</w:t>
      </w:r>
    </w:p>
    <w:tbl>
      <w:tblPr>
        <w:tblW w:type="dxa" w:w="9866"/>
        <w:tblBorders>
          <w:top w:val="single" w:color="C9D3D6" w:sz="6"/>
          <w:left w:val="single" w:color="C9D3D6" w:sz="6"/>
          <w:bottom w:val="single" w:color="C9D3D6" w:sz="6"/>
          <w:right w:val="single" w:color="C9D3D6" w:sz="6"/>
          <w:insideH w:val="none" w:color="FFFFFF" w:sz="0"/>
          <w:insideV w:val="none" w:color="FFFFFF" w:sz="0"/>
        </w:tblBorders>
        <w:tblLayout w:type="fixed"/>
      </w:tblPr>
      <w:tblGrid>
        <w:gridCol w:w="9866"/>
      </w:tblGrid>
      <w:tr>
        <w:trPr>
          <w:cantSplit/>
        </w:trPr>
        <w:tc>
          <w:tcPr>
            <w:tcW w:type="dxa" w:w="9866"/>
            <w:shd w:fill="F6F8F8" w:color="auto" w:val="clear"/>
            <w:tcMar>
              <w:top w:type="dxa" w:w="120"/>
              <w:left w:type="dxa" w:w="200"/>
              <w:bottom w:type="dxa" w:w="100"/>
              <w:right w:type="dxa" w:w="200"/>
            </w:tcMar>
            <w:vAlign w:val="top"/>
          </w:tcPr>
          <w:p>
            <w:pPr>
              <w:spacing w:after="30" w:before="0" w:line="276"/>
              <w:ind w:left="280"/>
              <w:jc w:val="left"/>
            </w:pPr>
            <w:r>
              <w:rPr>
                <w:rFonts w:ascii="Calibri" w:cs="Calibri" w:eastAsia="Calibri" w:hAnsi="Calibri"/>
                <w:color w:val="1F2A2E"/>
                <w:sz w:val="20"/>
                <w:szCs w:val="20"/>
              </w:rPr>
              <w:t xml:space="preserve">S → zS | nS | KS | ZS | ε</w:t>
            </w:r>
          </w:p>
          <w:p>
            <w:pPr>
              <w:spacing w:after="30" w:before="0" w:line="276"/>
              <w:ind w:left="280"/>
              <w:jc w:val="left"/>
            </w:pPr>
            <w:r>
              <w:rPr>
                <w:rFonts w:ascii="Calibri" w:cs="Calibri" w:eastAsia="Calibri" w:hAnsi="Calibri"/>
                <w:color w:val="1F2A2E"/>
                <w:sz w:val="20"/>
                <w:szCs w:val="20"/>
              </w:rPr>
              <w:t xml:space="preserve">K → (∗ S ∗)</w:t>
            </w:r>
          </w:p>
          <w:p>
            <w:pPr>
              <w:spacing w:after="30" w:before="0" w:line="276"/>
              <w:ind w:left="280"/>
              <w:jc w:val="left"/>
            </w:pPr>
            <w:r>
              <w:rPr>
                <w:rFonts w:ascii="Calibri" w:cs="Calibri" w:eastAsia="Calibri" w:hAnsi="Calibri"/>
                <w:color w:val="1F2A2E"/>
                <w:sz w:val="20"/>
                <w:szCs w:val="20"/>
              </w:rPr>
              <w:t xml:space="preserve">Z → // L n</w:t>
            </w:r>
          </w:p>
          <w:p>
            <w:pPr>
              <w:spacing w:after="30" w:before="0" w:line="276"/>
              <w:ind w:left="280"/>
              <w:jc w:val="left"/>
            </w:pPr>
            <w:r>
              <w:rPr>
                <w:rFonts w:ascii="Calibri" w:cs="Calibri" w:eastAsia="Calibri" w:hAnsi="Calibri"/>
                <w:color w:val="1F2A2E"/>
                <w:sz w:val="20"/>
                <w:szCs w:val="20"/>
              </w:rPr>
              <w:t xml:space="preserve">L → zL | ε</w:t>
            </w:r>
          </w:p>
        </w:tc>
      </w:tr>
    </w:tbl>
    <w:p>
      <w:pPr>
        <w:spacing w:after="120" w:before="0"/>
      </w:pPr>
    </w:p>
    <w:p>
      <w:pPr>
        <w:spacing w:after="100" w:before="0" w:line="276"/>
        <w:jc w:val="left"/>
      </w:pPr>
      <w:r>
        <w:rPr>
          <w:rFonts w:ascii="Calibri" w:cs="Calibri" w:eastAsia="Calibri" w:hAnsi="Calibri"/>
          <w:color w:val="1F2A2E"/>
          <w:sz w:val="20"/>
          <w:szCs w:val="20"/>
        </w:rPr>
        <w:t xml:space="preserve">Der Trick: Ein Blockkommentar enthält wieder einen vollständigen Quelltext S – damit sind Zeilenkommentare und beliebig tief verschachtelte Blockkommentare darin automatisch erlaubt.</w:t>
      </w:r>
    </w:p>
    <w:p>
      <w:pPr>
        <w:spacing w:after="100" w:before="0" w:line="276"/>
        <w:jc w:val="left"/>
      </w:pPr>
      <w:r>
        <w:rPr>
          <w:rFonts w:ascii="Calibri" w:cs="Calibri" w:eastAsia="Calibri" w:hAnsi="Calibri"/>
          <w:color w:val="1F2A2E"/>
          <w:sz w:val="20"/>
          <w:szCs w:val="20"/>
        </w:rPr>
        <w:t xml:space="preserve">b) Beispiel (∗ z // z z n ∗): S ⇒ K S ⇒ (∗ S ∗) S ⇒ (∗ z S ∗) S ⇒ (∗ z Z S ∗) S ⇒ (∗ z // L n S ∗) S ⇒ (∗ z // z L n S ∗) S ⇒ (∗ z // z z L n S ∗) S ⇒ (∗ z // z z n S ∗) S ⇒ (∗ z // z z n ∗) S ⇒ (∗ z // z z n ∗)</w:t>
      </w:r>
    </w:p>
    <w:p>
      <w:pPr>
        <w:spacing w:after="100" w:before="0" w:line="276"/>
        <w:jc w:val="left"/>
      </w:pPr>
      <w:r>
        <w:rPr>
          <w:rFonts w:ascii="Calibri" w:cs="Calibri" w:eastAsia="Calibri" w:hAnsi="Calibri"/>
          <w:color w:val="1F2A2E"/>
          <w:sz w:val="20"/>
          <w:szCs w:val="20"/>
        </w:rPr>
        <w:t xml:space="preserve">c) Kelleralphabet Γ = {#, K}. Bei jedem (∗ legt der Kellerautomat ein Zeichen K auf den Keller, bei jedem ∗) nimmt er ein K herunter; liegt dabei kein K oben (nur #), gibt es keinen passenden Übergang. Nach // wechselt er in einen Zustand, in dem er Kommentarzeichen ignoriert, bis n kommt. Die Eingabe wird akzeptiert, wenn am Ende wieder # oben liegt (alle Blockkommentare geschlossen) und er in den Endzustand wechseln kann. Ein möglicher NKA und die Verarbeitung von (∗ z (∗ n ∗) ∗):</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4423"/>
        <w:gridCol w:w="5443"/>
      </w:tblGrid>
      <w:tr>
        <w:trPr>
          <w:cantSplit/>
        </w:trPr>
        <w:tc>
          <w:tcPr>
            <w:tcW w:type="dxa" w:w="4423"/>
            <w:tcBorders>
              <w:top w:val="none" w:color="FFFFFF" w:sz="0"/>
              <w:left w:val="none" w:color="FFFFFF" w:sz="0"/>
              <w:bottom w:val="none" w:color="FFFFFF" w:sz="0"/>
              <w:right w:val="none" w:color="FFFFFF" w:sz="0"/>
            </w:tcBorders>
            <w:tcMar>
              <w:top w:type="dxa" w:w="0"/>
              <w:left w:type="dxa" w:w="0"/>
              <w:bottom w:type="dxa" w:w="0"/>
              <w:right w:type="dxa" w:w="80"/>
            </w:tcMar>
          </w:tcPr>
          <w:p>
            <w:pPr>
              <w:keepNext w:val="false"/>
              <w:spacing w:after="120" w:before="60"/>
              <w:jc w:val="center"/>
            </w:pPr>
            <w:r>
              <w:drawing>
                <wp:inline distT="0" distB="0" distL="0" distR="0">
                  <wp:extent cx="2733675" cy="1724025"/>
                  <wp:effectExtent t="0" r="0" b="0" l="0"/>
                  <wp:docPr id="1" name="kommentar_nka.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33675" cy="1724025"/>
                          </a:xfrm>
                          <a:prstGeom prst="rect">
                            <a:avLst/>
                          </a:prstGeom>
                        </pic:spPr>
                      </pic:pic>
                    </a:graphicData>
                  </a:graphic>
                </wp:inline>
              </w:drawing>
            </w:r>
          </w:p>
        </w:tc>
        <w:tc>
          <w:tcPr>
            <w:tcW w:type="dxa" w:w="5443"/>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5330"/>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64"/>
              <w:gridCol w:w="1474"/>
              <w:gridCol w:w="1418"/>
              <w:gridCol w:w="1474"/>
            </w:tblGrid>
            <w:tr>
              <w:trPr>
                <w:cantSplit/>
                <w:tblHeader/>
              </w:trPr>
              <w:tc>
                <w:tcPr>
                  <w:tcW w:type="dxa" w:w="96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7"/>
                      <w:szCs w:val="17"/>
                    </w:rPr>
                    <w:t xml:space="preserve">Zustand</w:t>
                  </w:r>
                </w:p>
              </w:tc>
              <w:tc>
                <w:tcPr>
                  <w:tcW w:type="dxa" w:w="147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7"/>
                      <w:szCs w:val="17"/>
                    </w:rPr>
                    <w:t xml:space="preserve">Belegung Kellerspeicher</w:t>
                  </w:r>
                </w:p>
              </w:tc>
              <w:tc>
                <w:tcPr>
                  <w:tcW w:type="dxa" w:w="1418"/>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7"/>
                      <w:szCs w:val="17"/>
                    </w:rPr>
                    <w:t xml:space="preserve">oberstes Kellersymbol</w:t>
                  </w:r>
                </w:p>
              </w:tc>
              <w:tc>
                <w:tcPr>
                  <w:tcW w:type="dxa" w:w="1474"/>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7"/>
                      <w:szCs w:val="17"/>
                    </w:rPr>
                    <w:t xml:space="preserve">verarb. Eingabezeichen</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z</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KK#</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KK#</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n</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S0</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K</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r>
            <w:tr>
              <w:trPr>
                <w:cantSplit/>
                <w:tblHeader w:val="false"/>
              </w:trPr>
              <w:tc>
                <w:tcPr>
                  <w:tcW w:type="dxa" w:w="96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S2</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c>
                <w:tcPr>
                  <w:tcW w:type="dxa" w:w="141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w:t>
                  </w:r>
                </w:p>
              </w:tc>
              <w:tc>
                <w:tcPr>
                  <w:tcW w:type="dxa" w:w="1474"/>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7"/>
                      <w:szCs w:val="17"/>
                    </w:rPr>
                    <w:t xml:space="preserve">ε</w:t>
                  </w:r>
                </w:p>
              </w:tc>
            </w:tr>
          </w:tbl>
          <w:p>
            <w:pPr>
              <w:spacing w:after="140" w:before="0"/>
            </w:pPr>
          </w:p>
        </w:tc>
      </w:tr>
    </w:tbl>
    <w:p>
      <w:pPr>
        <w:spacing w:after="100" w:before="0" w:line="276"/>
        <w:jc w:val="left"/>
      </w:pPr>
      <w:r>
        <w:rPr>
          <w:rFonts w:ascii="Calibri" w:cs="Calibri" w:eastAsia="Calibri" w:hAnsi="Calibri"/>
          <w:color w:val="1F2A2E"/>
          <w:sz w:val="20"/>
          <w:szCs w:val="20"/>
        </w:rPr>
        <w:t xml:space="preserve">Eingabe wird akzeptiert: ja.</w:t>
      </w: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2"/>
                <w:szCs w:val="22"/>
              </w:rPr>
              <w:t xml:space="preserve">Klammern einzeln erzeugen</w:t>
            </w:r>
            <w:r>
              <w:rPr>
                <w:rFonts w:ascii="Calibri" w:cs="Calibri" w:eastAsia="Calibri" w:hAnsi="Calibri"/>
                <w:color w:val="1F2A2E"/>
                <w:sz w:val="22"/>
                <w:szCs w:val="22"/>
              </w:rPr>
              <w:t xml:space="preserve"> (S → (S | S) | ε): erzeugt auch „)(“. Öffnende und schließende Klammer müssen in </w:t>
            </w:r>
            <w:r>
              <w:rPr>
                <w:rFonts w:ascii="Calibri" w:cs="Calibri" w:eastAsia="Calibri" w:hAnsi="Calibri"/>
                <w:b/>
                <w:bCs/>
                <w:color w:val="1F2A2E"/>
                <w:sz w:val="22"/>
                <w:szCs w:val="22"/>
              </w:rPr>
              <w:t xml:space="preserve">derselben</w:t>
            </w:r>
            <w:r>
              <w:rPr>
                <w:rFonts w:ascii="Calibri" w:cs="Calibri" w:eastAsia="Calibri" w:hAnsi="Calibri"/>
                <w:color w:val="1F2A2E"/>
                <w:sz w:val="22"/>
                <w:szCs w:val="22"/>
              </w:rPr>
              <w:t xml:space="preserve"> Regel entstehen.</w:t>
            </w:r>
          </w:p>
          <w:p>
            <w:pPr>
              <w:pStyle w:val="ListParagraph"/>
              <w:numPr>
                <w:ilvl w:val="0"/>
                <w:numId w:val="2"/>
              </w:numPr>
              <w:spacing w:after="60" w:line="264"/>
            </w:pPr>
            <w:r>
              <w:rPr>
                <w:rFonts w:ascii="Calibri" w:cs="Calibri" w:eastAsia="Calibri" w:hAnsi="Calibri"/>
                <w:b/>
                <w:bCs/>
                <w:color w:val="1F2A2E"/>
                <w:sz w:val="22"/>
                <w:szCs w:val="22"/>
              </w:rPr>
              <w:t xml:space="preserve">ε vergessen oder zu viel:</w:t>
            </w:r>
            <w:r>
              <w:rPr>
                <w:rFonts w:ascii="Calibri" w:cs="Calibri" w:eastAsia="Calibri" w:hAnsi="Calibri"/>
                <w:color w:val="1F2A2E"/>
                <w:sz w:val="22"/>
                <w:szCs w:val="22"/>
              </w:rPr>
              <w:t xml:space="preserve"> Bei Palindromen fehlen sonst die Wörter gerader bzw. ungerader Länge; bei aⁿbⁿ (n ≥ 1) darf ε nicht erzeugt werden.</w:t>
            </w:r>
          </w:p>
          <w:p>
            <w:pPr>
              <w:pStyle w:val="ListParagraph"/>
              <w:numPr>
                <w:ilvl w:val="0"/>
                <w:numId w:val="2"/>
              </w:numPr>
              <w:spacing w:after="60" w:line="264"/>
            </w:pPr>
            <w:r>
              <w:rPr>
                <w:rFonts w:ascii="Calibri" w:cs="Calibri" w:eastAsia="Calibri" w:hAnsi="Calibri"/>
                <w:b/>
                <w:bCs/>
                <w:color w:val="1F2A2E"/>
                <w:sz w:val="22"/>
                <w:szCs w:val="22"/>
              </w:rPr>
              <w:t xml:space="preserve">Mehrdeutigkeit mit zwei Ableitungsreihenfolgen verwechselt:</w:t>
            </w:r>
            <w:r>
              <w:rPr>
                <w:rFonts w:ascii="Calibri" w:cs="Calibri" w:eastAsia="Calibri" w:hAnsi="Calibri"/>
                <w:color w:val="1F2A2E"/>
                <w:sz w:val="22"/>
                <w:szCs w:val="22"/>
              </w:rPr>
              <w:t xml:space="preserve"> Entscheidend sind zwei verschiedene </w:t>
            </w:r>
            <w:r>
              <w:rPr>
                <w:rFonts w:ascii="Calibri" w:cs="Calibri" w:eastAsia="Calibri" w:hAnsi="Calibri"/>
                <w:b/>
                <w:bCs/>
                <w:color w:val="1F2A2E"/>
                <w:sz w:val="22"/>
                <w:szCs w:val="22"/>
              </w:rPr>
              <w:t xml:space="preserve">Bäume</w:t>
            </w:r>
            <w:r>
              <w:rPr>
                <w:rFonts w:ascii="Calibri" w:cs="Calibri" w:eastAsia="Calibri" w:hAnsi="Calibri"/>
                <w:color w:val="1F2A2E"/>
                <w:sz w:val="22"/>
                <w:szCs w:val="22"/>
              </w:rPr>
              <w:t xml:space="preserve"> (bzw. zwei verschiedene Linksableitungen), nicht zwei Reihenfolgen beim Ersetzen.</w:t>
            </w:r>
          </w:p>
          <w:p>
            <w:pPr>
              <w:pStyle w:val="ListParagraph"/>
              <w:numPr>
                <w:ilvl w:val="0"/>
                <w:numId w:val="2"/>
              </w:numPr>
              <w:spacing w:after="60" w:line="264"/>
            </w:pPr>
            <w:r>
              <w:rPr>
                <w:rFonts w:ascii="Calibri" w:cs="Calibri" w:eastAsia="Calibri" w:hAnsi="Calibri"/>
                <w:b/>
                <w:bCs/>
                <w:color w:val="1F2A2E"/>
                <w:sz w:val="22"/>
                <w:szCs w:val="22"/>
              </w:rPr>
              <w:t xml:space="preserve">„Nicht regulär“ ohne Schubfach-Argument:</w:t>
            </w:r>
            <w:r>
              <w:rPr>
                <w:rFonts w:ascii="Calibri" w:cs="Calibri" w:eastAsia="Calibri" w:hAnsi="Calibri"/>
                <w:color w:val="1F2A2E"/>
                <w:sz w:val="22"/>
                <w:szCs w:val="22"/>
              </w:rPr>
              <w:t xml:space="preserve"> „Man kann nicht zählen“ reicht im Abitur nicht – konkrete Wörter, Zustandsanzahl k, Widerspruch.</w:t>
            </w:r>
          </w:p>
          <w:p>
            <w:pPr>
              <w:pStyle w:val="ListParagraph"/>
              <w:numPr>
                <w:ilvl w:val="0"/>
                <w:numId w:val="2"/>
              </w:numPr>
              <w:spacing w:after="60" w:line="264"/>
            </w:pPr>
            <w:r>
              <w:rPr>
                <w:rFonts w:ascii="Calibri" w:cs="Calibri" w:eastAsia="Calibri" w:hAnsi="Calibri"/>
                <w:b/>
                <w:bCs/>
                <w:color w:val="1F2A2E"/>
                <w:sz w:val="22"/>
                <w:szCs w:val="22"/>
              </w:rPr>
              <w:t xml:space="preserve">„Kontextfreie Grammatik gegeben, also ist die Sprache nicht regulär“?</w:t>
            </w:r>
            <w:r>
              <w:rPr>
                <w:rFonts w:ascii="Calibri" w:cs="Calibri" w:eastAsia="Calibri" w:hAnsi="Calibri"/>
                <w:color w:val="1F2A2E"/>
                <w:sz w:val="22"/>
                <w:szCs w:val="22"/>
              </w:rPr>
              <w:t xml:space="preserve"> Falsch (Hostnamen!). Begründung immer über die Sprache führen.</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 1 (Muster-Baukasten benutzen) und 2a–c; Rallye-Aufgaben 2, 5, 6.</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1–4.</w:t>
      </w:r>
    </w:p>
    <w:p>
      <w:pPr>
        <w:pStyle w:val="ListParagraph"/>
        <w:numPr>
          <w:ilvl w:val="0"/>
          <w:numId w:val="2"/>
        </w:numPr>
        <w:spacing w:after="60" w:line="264"/>
      </w:pP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5; Zusatz: Abi 2021 eA E d (Mealy-Grenze und DKA für AbiCode2) im Original; Grammatik für {aⁱbʲ | i ≠ j}.</w:t>
      </w:r>
    </w:p>
    <w:p>
      <w:pPr>
        <w:pStyle w:val="ListParagraph"/>
        <w:numPr>
          <w:ilvl w:val="0"/>
          <w:numId w:val="2"/>
        </w:numPr>
        <w:spacing w:after="60" w:line="264"/>
      </w:pPr>
      <w:r>
        <w:rPr>
          <w:rFonts w:ascii="Calibri" w:cs="Calibri" w:eastAsia="Calibri" w:hAnsi="Calibri"/>
          <w:color w:val="1F2A2E"/>
          <w:sz w:val="22"/>
          <w:szCs w:val="22"/>
        </w:rPr>
        <w:t xml:space="preserve">Für Schnelle: Grammatik-Tester Challenge 11 (gleich viele a und b) – anspruchsvoll!</w:t>
      </w:r>
    </w:p>
    <w:p>
      <w:pPr>
        <w:keepNext/>
        <w:spacing w:after="100" w:before="260"/>
      </w:pPr>
      <w:r>
        <w:rPr>
          <w:rFonts w:ascii="Cambria" w:cs="Cambria" w:eastAsia="Cambria" w:hAnsi="Cambria"/>
          <w:b/>
          <w:bCs/>
          <w:color w:val="0E6455"/>
          <w:sz w:val="27"/>
          <w:szCs w:val="27"/>
        </w:rPr>
        <w:t xml:space="preserve">Hausaufgabe</w:t>
      </w:r>
    </w:p>
    <w:p>
      <w:pPr>
        <w:spacing w:after="100" w:before="0" w:line="276"/>
        <w:jc w:val="left"/>
      </w:pPr>
      <w:r>
        <w:rPr>
          <w:rFonts w:ascii="Calibri" w:cs="Calibri" w:eastAsia="Calibri" w:hAnsi="Calibri"/>
          <w:color w:val="1F2A2E"/>
          <w:sz w:val="22"/>
          <w:szCs w:val="22"/>
        </w:rPr>
        <w:t xml:space="preserve">AB13 Aufgabe 4 bzw. 5 fertigstellen, Ableitungs-Rallye Aufgaben 12 und 13 (Baum-Modus). Vorbereitung (Vertiefung Level 14 bzw. Abi-Training): Sortiere aⁿbⁿ, „endet auf ab“, Palindrome und aⁿbⁿcⁿ nach der Maschine, die man mindestens braucht.</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DS13 · Lehrkraft-Handreichung</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LK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a5f2bfbcd336ee2a0bfb825e8ddd7833e343e1.png"/><Relationship Id="rId10" Type="http://schemas.openxmlformats.org/officeDocument/2006/relationships/image" Target="media/bff3b854e06c0a40ec6e0d77e0da00baf89900f4.png"/><Relationship Id="rId11" Type="http://schemas.openxmlformats.org/officeDocument/2006/relationships/image" Target="media/684d956ee7d7fbd876b6846c2685017d9b424409.png"/><Relationship Id="rId12" Type="http://schemas.openxmlformats.org/officeDocument/2006/relationships/image" Target="media/418d2ccfcca0e57951290a34767c195a090b446f.png"/><Relationship Id="rId13" Type="http://schemas.openxmlformats.org/officeDocument/2006/relationships/image" Target="media/744874aefbd246bb9235e631c7336c45ef80220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Klammern, Spiegel, Programme</dc:title>
  <dc:creator>Frank Juchim</dc:creator>
  <dc:description>Informatik LK – Automaten und formale Sprachen</dc:description>
  <cp:lastModifiedBy>Un-named</cp:lastModifiedBy>
  <cp:revision>1</cp:revision>
  <dcterms:created xsi:type="dcterms:W3CDTF">2026-10-03T21:40:47.296Z</dcterms:created>
  <dcterms:modified xsi:type="dcterms:W3CDTF">2026-10-03T21:40:47.296Z</dcterms:modified>
</cp:coreProperties>
</file>

<file path=docProps/custom.xml><?xml version="1.0" encoding="utf-8"?>
<Properties xmlns="http://schemas.openxmlformats.org/officeDocument/2006/custom-properties" xmlns:vt="http://schemas.openxmlformats.org/officeDocument/2006/docPropsVTypes"/>
</file>