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31"/>
        <w:gridCol w:w="2835"/>
      </w:tblGrid>
      <w:tr>
        <w:tc>
          <w:tcPr>
            <w:tcW w:type="dxa" w:w="70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Arbeitsblatt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Level 14  ·  Welt C · Formale Sprachen</w:t>
            </w:r>
          </w:p>
          <w:p>
            <w:pPr>
              <w:spacing w:after="40" w:before="2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40"/>
                <w:szCs w:val="40"/>
              </w:rPr>
              <w:t xml:space="preserve">Die Landkarte der Sprachen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0"/>
                <w:sz w:val="22"/>
                <w:szCs w:val="22"/>
              </w:rPr>
              <w:t xml:space="preserve">Chomsky-Hierarchie, Begriffsnetz und Abi-Trainingszirkel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bottom"/>
          </w:tcPr>
          <w:p>
            <w:pPr>
              <w:pBdr>
                <w:bottom w:val="single" w:color="C9D3D6" w:sz="4" w:space="14"/>
              </w:pBdr>
              <w:spacing w:after="0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Name</w:t>
            </w:r>
          </w:p>
          <w:p>
            <w:pPr>
              <w:pBdr>
                <w:bottom w:val="single" w:color="C9D3D6" w:sz="4" w:space="14"/>
              </w:pBdr>
              <w:spacing w:after="0" w:before="120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Datum</w:t>
            </w:r>
          </w:p>
        </w:tc>
      </w:tr>
    </w:tbl>
    <w:p>
      <w:pPr>
        <w:pBdr>
          <w:bottom w:val="single" w:color="0E6455" w:sz="12" w:space="1"/>
        </w:pBdr>
        <w:spacing w:after="200" w:before="60"/>
      </w:pPr>
    </w:p>
    <w:tbl>
      <w:tblPr>
        <w:tblW w:type="dxa" w:w="9866"/>
        <w:tblBorders>
          <w:top w:val="single" w:color="F8ECDB" w:sz="6"/>
          <w:left w:val="single" w:color="F8ECDB" w:sz="6"/>
          <w:bottom w:val="single" w:color="F8ECDB" w:sz="6"/>
          <w:right w:val="single" w:color="F8ECDB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CF6EE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20"/>
                <w:szCs w:val="20"/>
              </w:rPr>
              <w:t xml:space="preserve">Kernfrage  </w:t>
            </w:r>
            <w:r>
              <w:rPr>
                <w:rFonts w:ascii="Cambria" w:cs="Cambria" w:eastAsia="Cambria" w:hAnsi="Cambria"/>
                <w:i/>
                <w:iCs/>
                <w:color w:val="0A4A3F"/>
                <w:sz w:val="24"/>
                <w:szCs w:val="24"/>
              </w:rPr>
              <w:t xml:space="preserve">Welche Maschine braucht man für welche Sprache – und wie hängt alles zusammen?</w:t>
            </w:r>
          </w:p>
        </w:tc>
      </w:tr>
    </w:tbl>
    <w:p>
      <w:pPr>
        <w:spacing w:after="160" w:before="0"/>
      </w:pP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Level 14 ist der Blick von oben: DEA, NEA, Mealy, Kellerautomat, reguläre und kontextfreie Grammatiken – wie passt das alles zusammen? Die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Chomsky-Hierarchie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ordnet Sprachen nach der Maschine, die man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mindestens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braucht.</w:t>
      </w:r>
    </w:p>
    <w:tbl>
      <w:tblPr>
        <w:tblW w:type="dxa" w:w="9866"/>
        <w:tblBorders>
          <w:top w:val="single" w:color="E4F0EE" w:sz="6"/>
          <w:left w:val="single" w:color="E4F0EE" w:sz="6"/>
          <w:bottom w:val="single" w:color="E4F0EE" w:sz="6"/>
          <w:right w:val="single" w:color="E4F0EE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E4F0EE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23"/>
                <w:szCs w:val="23"/>
              </w:rPr>
              <w:t xml:space="preserve">Die Chomsky-Hierarchie</w:t>
            </w:r>
          </w:p>
          <w:tbl>
            <w:tblPr>
              <w:tblW w:type="dxa" w:w="9412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6067"/>
              <w:gridCol w:w="3345"/>
            </w:tblGrid>
            <w:tr>
              <w:trPr>
                <w:cantSplit/>
              </w:trPr>
              <w:tc>
                <w:tcPr>
                  <w:tcW w:type="dxa" w:w="606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80"/>
                  </w:tcMar>
                </w:tcPr>
                <w:tbl>
                  <w:tblPr>
                    <w:tblW w:type="dxa" w:w="5955"/>
                    <w:tblBorders>
                      <w:top w:val="single" w:color="C9D3D6" w:sz="4"/>
                      <w:left w:val="single" w:color="C9D3D6" w:sz="4"/>
                      <w:bottom w:val="single" w:color="C9D3D6" w:sz="4"/>
                      <w:right w:val="single" w:color="C9D3D6" w:sz="4"/>
                      <w:insideH w:val="single" w:color="C9D3D6" w:sz="4"/>
                      <w:insideV w:val="single" w:color="C9D3D6" w:sz="4"/>
                    </w:tblBorders>
                    <w:tblLayout w:type="fixed"/>
                  </w:tblPr>
                  <w:tblGrid>
                    <w:gridCol w:w="624"/>
                    <w:gridCol w:w="1418"/>
                    <w:gridCol w:w="1985"/>
                    <w:gridCol w:w="192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624"/>
                        <w:shd w:fill="0E6455" w:color="auto" w:val="clear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  <w:vAlign w:val="center"/>
                      </w:tcPr>
                      <w:p>
                        <w:pPr>
                          <w:spacing w:after="40" w:before="0" w:line="276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FFFFFF"/>
                            <w:sz w:val="18"/>
                            <w:szCs w:val="18"/>
                          </w:rPr>
                          <w:t xml:space="preserve">Typ</w:t>
                        </w:r>
                      </w:p>
                    </w:tc>
                    <w:tc>
                      <w:tcPr>
                        <w:tcW w:type="dxa" w:w="1418"/>
                        <w:shd w:fill="0E6455" w:color="auto" w:val="clear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  <w:vAlign w:val="center"/>
                      </w:tcPr>
                      <w:p>
                        <w:pPr>
                          <w:spacing w:after="40" w:before="0" w:line="276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FFFFFF"/>
                            <w:sz w:val="18"/>
                            <w:szCs w:val="18"/>
                          </w:rPr>
                          <w:t xml:space="preserve">Sprachklasse</w:t>
                        </w:r>
                      </w:p>
                    </w:tc>
                    <w:tc>
                      <w:tcPr>
                        <w:tcW w:type="dxa" w:w="1985"/>
                        <w:shd w:fill="0E6455" w:color="auto" w:val="clear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  <w:vAlign w:val="center"/>
                      </w:tcPr>
                      <w:p>
                        <w:pPr>
                          <w:spacing w:after="40" w:before="0" w:line="276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FFFFFF"/>
                            <w:sz w:val="18"/>
                            <w:szCs w:val="18"/>
                          </w:rPr>
                          <w:t xml:space="preserve">Grammatik</w:t>
                        </w:r>
                      </w:p>
                    </w:tc>
                    <w:tc>
                      <w:tcPr>
                        <w:tcW w:type="dxa" w:w="1928"/>
                        <w:shd w:fill="0E6455" w:color="auto" w:val="clear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  <w:vAlign w:val="center"/>
                      </w:tcPr>
                      <w:p>
                        <w:pPr>
                          <w:spacing w:after="40" w:before="0" w:line="276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FFFFFF"/>
                            <w:sz w:val="18"/>
                            <w:szCs w:val="18"/>
                          </w:rPr>
                          <w:t xml:space="preserve">Maschine</w:t>
                        </w:r>
                      </w:p>
                    </w:tc>
                  </w:tr>
                  <w:tr>
                    <w:trPr>
                      <w:cantSplit/>
                      <w:tblHeader w:val="false"/>
                    </w:trPr>
                    <w:tc>
                      <w:tcPr>
                        <w:tcW w:type="dxa" w:w="624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  <w:vAlign w:val="center"/>
                      </w:tcPr>
                      <w:p>
                        <w:pPr>
                          <w:spacing w:after="40" w:before="0" w:line="276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color w:val="1F2A2E"/>
                            <w:sz w:val="18"/>
                            <w:szCs w:val="18"/>
                          </w:rPr>
                          <w:t xml:space="preserve">3</w:t>
                        </w:r>
                      </w:p>
                    </w:tc>
                    <w:tc>
                      <w:tcPr>
                        <w:tcW w:type="dxa" w:w="1418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  <w:vAlign w:val="center"/>
                      </w:tcPr>
                      <w:p>
                        <w:pPr>
                          <w:spacing w:after="40" w:before="0" w:line="276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color w:val="1F2A2E"/>
                            <w:sz w:val="18"/>
                            <w:szCs w:val="18"/>
                          </w:rPr>
                          <w:t xml:space="preserve">regulär</w:t>
                        </w:r>
                      </w:p>
                    </w:tc>
                    <w:tc>
                      <w:tcPr>
                        <w:tcW w:type="dxa" w:w="1985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  <w:vAlign w:val="center"/>
                      </w:tcPr>
                      <w:p>
                        <w:pPr>
                          <w:spacing w:after="40" w:before="0" w:line="276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color w:val="1F2A2E"/>
                            <w:sz w:val="18"/>
                            <w:szCs w:val="18"/>
                          </w:rPr>
                          <w:t xml:space="preserve">rechtsregulär: A → aB | a | ε</w:t>
                        </w:r>
                      </w:p>
                    </w:tc>
                    <w:tc>
                      <w:tcPr>
                        <w:tcW w:type="dxa" w:w="1928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  <w:vAlign w:val="center"/>
                      </w:tcPr>
                      <w:p>
                        <w:pPr>
                          <w:spacing w:after="40" w:before="0" w:line="276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color w:val="1F2A2E"/>
                            <w:sz w:val="18"/>
                            <w:szCs w:val="18"/>
                          </w:rPr>
                          <w:t xml:space="preserve">DEA / NEA</w:t>
                        </w:r>
                      </w:p>
                    </w:tc>
                  </w:tr>
                  <w:tr>
                    <w:trPr>
                      <w:cantSplit/>
                      <w:tblHeader w:val="false"/>
                    </w:trPr>
                    <w:tc>
                      <w:tcPr>
                        <w:tcW w:type="dxa" w:w="624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  <w:vAlign w:val="center"/>
                      </w:tcPr>
                      <w:p>
                        <w:pPr>
                          <w:spacing w:after="40" w:before="0" w:line="276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color w:val="1F2A2E"/>
                            <w:sz w:val="18"/>
                            <w:szCs w:val="18"/>
                          </w:rPr>
                          <w:t xml:space="preserve">2</w:t>
                        </w:r>
                      </w:p>
                    </w:tc>
                    <w:tc>
                      <w:tcPr>
                        <w:tcW w:type="dxa" w:w="1418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  <w:vAlign w:val="center"/>
                      </w:tcPr>
                      <w:p>
                        <w:pPr>
                          <w:spacing w:after="40" w:before="0" w:line="276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color w:val="1F2A2E"/>
                            <w:sz w:val="18"/>
                            <w:szCs w:val="18"/>
                          </w:rPr>
                          <w:t xml:space="preserve">kontextfrei</w:t>
                        </w:r>
                      </w:p>
                    </w:tc>
                    <w:tc>
                      <w:tcPr>
                        <w:tcW w:type="dxa" w:w="1985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  <w:vAlign w:val="center"/>
                      </w:tcPr>
                      <w:p>
                        <w:pPr>
                          <w:spacing w:after="40" w:before="0" w:line="276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color w:val="1F2A2E"/>
                            <w:sz w:val="18"/>
                            <w:szCs w:val="18"/>
                          </w:rPr>
                          <w:t xml:space="preserve">kontextfrei: A → w</w:t>
                        </w:r>
                      </w:p>
                    </w:tc>
                    <w:tc>
                      <w:tcPr>
                        <w:tcW w:type="dxa" w:w="1928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  <w:vAlign w:val="center"/>
                      </w:tcPr>
                      <w:p>
                        <w:pPr>
                          <w:spacing w:after="40" w:before="0" w:line="276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color w:val="1F2A2E"/>
                            <w:sz w:val="18"/>
                            <w:szCs w:val="18"/>
                          </w:rPr>
                          <w:t xml:space="preserve">Kellerautomat (NKA)</w:t>
                        </w:r>
                      </w:p>
                    </w:tc>
                  </w:tr>
                  <w:tr>
                    <w:trPr>
                      <w:cantSplit/>
                      <w:tblHeader w:val="false"/>
                    </w:trPr>
                    <w:tc>
                      <w:tcPr>
                        <w:tcW w:type="dxa" w:w="624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  <w:vAlign w:val="center"/>
                      </w:tcPr>
                      <w:p>
                        <w:pPr>
                          <w:spacing w:after="40" w:before="0" w:line="276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color w:val="1F2A2E"/>
                            <w:sz w:val="18"/>
                            <w:szCs w:val="18"/>
                          </w:rPr>
                          <w:t xml:space="preserve">1 / 0</w:t>
                        </w:r>
                      </w:p>
                    </w:tc>
                    <w:tc>
                      <w:tcPr>
                        <w:tcW w:type="dxa" w:w="1418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  <w:vAlign w:val="center"/>
                      </w:tcPr>
                      <w:p>
                        <w:pPr>
                          <w:spacing w:after="40" w:before="0" w:line="276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color w:val="1F2A2E"/>
                            <w:sz w:val="18"/>
                            <w:szCs w:val="18"/>
                          </w:rPr>
                          <w:t xml:space="preserve">kontextsensitiv / rekursiv aufzählbar</w:t>
                        </w:r>
                      </w:p>
                    </w:tc>
                    <w:tc>
                      <w:tcPr>
                        <w:tcW w:type="dxa" w:w="1985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  <w:vAlign w:val="center"/>
                      </w:tcPr>
                      <w:p>
                        <w:pPr>
                          <w:spacing w:after="40" w:before="0" w:line="276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color w:val="1F2A2E"/>
                            <w:sz w:val="18"/>
                            <w:szCs w:val="18"/>
                          </w:rPr>
                          <w:t xml:space="preserve">allgemeinere Regeln (Ausblick)</w:t>
                        </w:r>
                      </w:p>
                    </w:tc>
                    <w:tc>
                      <w:tcPr>
                        <w:tcW w:type="dxa" w:w="1928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  <w:vAlign w:val="center"/>
                      </w:tcPr>
                      <w:p>
                        <w:pPr>
                          <w:spacing w:after="40" w:before="0" w:line="276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color w:val="1F2A2E"/>
                            <w:sz w:val="18"/>
                            <w:szCs w:val="18"/>
                          </w:rPr>
                          <w:t xml:space="preserve">linear beschränkter Automat / Turingmaschine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334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80"/>
                    <w:bottom w:type="dxa" w:w="0"/>
                    <w:right w:type="dxa" w:w="0"/>
                  </w:tcMar>
                </w:tcPr>
                <w:p>
                  <w:pPr>
                    <w:keepNext w:val="false"/>
                    <w:spacing w:after="120" w:before="60"/>
                    <w:jc w:val="center"/>
                  </w:pPr>
                  <w:r>
                    <w:drawing>
                      <wp:inline distT="0" distB="0" distL="0" distR="0">
                        <wp:extent cx="1943100" cy="1476375"/>
                        <wp:effectExtent t="0" r="0" b="0" l="0"/>
                        <wp:docPr id="1" name="chomsky.png" descr="Abbildung" title="Abbildu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43100" cy="1476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Die Klassen sind ineinander enthalten (Typ 3 ⊂ Typ 2 ⊂ Typ 1 ⊂ Typ 0).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Wähle immer die speziellste passende Grammatik bzw. Maschine: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Ist eine Sprache regulär, gibst du eine rechtsreguläre Grammatik oder einen DEA an – keinen Kellerautomaten.</w:t>
            </w:r>
          </w:p>
        </w:tc>
      </w:tr>
    </w:tbl>
    <w:p>
      <w:pPr>
        <w:spacing w:after="14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1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Nach dem Chomsky-Sortierer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2E7D4F" w:color="auto" w:val="clear"/>
        </w:rPr>
        <w:t xml:space="preserve"> Basis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I–II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Ordne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jede Sprache der möglichst speziellen Klasse zu und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begründe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in Stichworten („Begründungs-Joker“).</w:t>
      </w:r>
    </w:p>
    <w:tbl>
      <w:tblPr>
        <w:tblW w:type="dxa" w:w="9865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3402"/>
        <w:gridCol w:w="737"/>
        <w:gridCol w:w="1814"/>
        <w:gridCol w:w="3912"/>
      </w:tblGrid>
      <w:tr>
        <w:trPr>
          <w:cantSplit/>
          <w:tblHeader/>
          <w:trHeight w:val="680" w:hRule="atLeast"/>
        </w:trPr>
        <w:tc>
          <w:tcPr>
            <w:tcW w:type="dxa" w:w="3402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Sprache</w:t>
            </w:r>
          </w:p>
        </w:tc>
        <w:tc>
          <w:tcPr>
            <w:tcW w:type="dxa" w:w="737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</w:t>
            </w:r>
          </w:p>
        </w:tc>
        <w:tc>
          <w:tcPr>
            <w:tcW w:type="dxa" w:w="181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Maschine</w:t>
            </w:r>
          </w:p>
        </w:tc>
        <w:tc>
          <w:tcPr>
            <w:tcW w:type="dxa" w:w="3912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Begründung</w:t>
            </w:r>
          </w:p>
        </w:tc>
      </w:tr>
      <w:tr>
        <w:trPr>
          <w:cantSplit/>
          <w:tblHeader w:val="false"/>
          <w:trHeight w:val="680" w:hRule="atLeast"/>
        </w:trPr>
        <w:tc>
          <w:tcPr>
            <w:tcW w:type="dxa" w:w="340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Wörter über {a, b} mit höchstens drei b</w:t>
            </w:r>
          </w:p>
        </w:tc>
        <w:tc>
          <w:tcPr>
            <w:tcW w:type="dxa" w:w="73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391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</w:tr>
      <w:tr>
        <w:trPr>
          <w:cantSplit/>
          <w:tblHeader w:val="false"/>
          <w:trHeight w:val="680" w:hRule="atLeast"/>
        </w:trPr>
        <w:tc>
          <w:tcPr>
            <w:tcW w:type="dxa" w:w="340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Programme aus beliebig tief verschachtelten begin … end-Blöcken</w:t>
            </w:r>
          </w:p>
        </w:tc>
        <w:tc>
          <w:tcPr>
            <w:tcW w:type="dxa" w:w="73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391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</w:tr>
      <w:tr>
        <w:trPr>
          <w:cantSplit/>
          <w:tblHeader w:val="false"/>
          <w:trHeight w:val="680" w:hRule="atLeast"/>
        </w:trPr>
        <w:tc>
          <w:tcPr>
            <w:tcW w:type="dxa" w:w="340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aⁿbⁿ mit 1 ≤ n ≤ 3</w:t>
            </w:r>
          </w:p>
        </w:tc>
        <w:tc>
          <w:tcPr>
            <w:tcW w:type="dxa" w:w="73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391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</w:tr>
      <w:tr>
        <w:trPr>
          <w:cantSplit/>
          <w:tblHeader w:val="false"/>
          <w:trHeight w:val="680" w:hRule="atLeast"/>
        </w:trPr>
        <w:tc>
          <w:tcPr>
            <w:tcW w:type="dxa" w:w="340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aⁿbⁿcⁿ (n ≥ 1)</w:t>
            </w:r>
          </w:p>
        </w:tc>
        <w:tc>
          <w:tcPr>
            <w:tcW w:type="dxa" w:w="73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391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</w:tr>
      <w:tr>
        <w:trPr>
          <w:cantSplit/>
          <w:tblHeader w:val="false"/>
          <w:trHeight w:val="680" w:hRule="atLeast"/>
        </w:trPr>
        <w:tc>
          <w:tcPr>
            <w:tcW w:type="dxa" w:w="340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Binärzahlen, die durch 3 teilbar sind</w:t>
            </w:r>
          </w:p>
        </w:tc>
        <w:tc>
          <w:tcPr>
            <w:tcW w:type="dxa" w:w="73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391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</w:tr>
      <w:tr>
        <w:trPr>
          <w:cantSplit/>
          <w:tblHeader w:val="false"/>
          <w:trHeight w:val="680" w:hRule="atLeast"/>
        </w:trPr>
        <w:tc>
          <w:tcPr>
            <w:tcW w:type="dxa" w:w="340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Palindrome über {0, 1}</w:t>
            </w:r>
          </w:p>
        </w:tc>
        <w:tc>
          <w:tcPr>
            <w:tcW w:type="dxa" w:w="73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391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</w:tr>
    </w:tbl>
    <w:p>
      <w:pPr>
        <w:spacing w:after="140" w:before="0"/>
      </w:pPr>
    </w:p>
    <w:p>
      <w:pPr>
        <w:spacing w:after="80" w:before="0"/>
      </w:pPr>
    </w:p>
    <w:p>
      <w:r>
        <w:br w:type="page"/>
      </w: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2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Das Begriffsnetz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1F5F99" w:color="auto" w:val="clear"/>
        </w:rPr>
        <w:t xml:space="preserve"> Standard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II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Schneidet die Begriffs- und Verbindungskarten (Kopiervorlage) aus.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Legt die Begriffskarten auf ein A3-Blatt und verbindet sie mit Pfeilen. Beschriftet jeden Pfeil mit einer Verbindungskarte oder einer eigenen Formulierung (z. B. „DEA – erkennt → reguläre Sprachen“).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Ziel: mindestens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12 Verbindungen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; jede Begriffskarte ist mindestens einmal verbunden.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Jede Gruppe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erläutert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zwei Verbindungen im Plenum – mit Beispiel aus dem Unterricht.</w:t>
      </w:r>
    </w:p>
    <w:p>
      <w:pPr>
        <w:spacing w:after="8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3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Abi-Trainingszirkel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1F5F99" w:color="auto" w:val="clear"/>
        </w:rPr>
        <w:t xml:space="preserve"> Standard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I–III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Vier Stationen mit Aufgaben im Abitur-Format (Sie-Form, Bewertungseinheiten). Bearbeite jede Station ca. 10 Minuten auf einem separaten Blatt (Station 4 direkt in der Tabelle), kontrolliere dann mit der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Lösungskarte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trage deine BE ein.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021"/>
        <w:gridCol w:w="1928"/>
        <w:gridCol w:w="3629"/>
        <w:gridCol w:w="1247"/>
        <w:gridCol w:w="2041"/>
      </w:tblGrid>
      <w:tr>
        <w:trPr>
          <w:cantSplit/>
          <w:tblHeader/>
        </w:trPr>
        <w:tc>
          <w:tcPr>
            <w:tcW w:type="dxa" w:w="102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Station</w:t>
            </w:r>
          </w:p>
        </w:tc>
        <w:tc>
          <w:tcPr>
            <w:tcW w:type="dxa" w:w="192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Schwerpunkt</w:t>
            </w:r>
          </w:p>
        </w:tc>
        <w:tc>
          <w:tcPr>
            <w:tcW w:type="dxa" w:w="3629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Operatoren</w:t>
            </w:r>
          </w:p>
        </w:tc>
        <w:tc>
          <w:tcPr>
            <w:tcW w:type="dxa" w:w="1247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max. BE</w:t>
            </w:r>
          </w:p>
        </w:tc>
        <w:tc>
          <w:tcPr>
            <w:tcW w:type="dxa" w:w="204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meine BE</w:t>
            </w:r>
          </w:p>
        </w:tc>
      </w:tr>
      <w:tr>
        <w:trPr>
          <w:cantSplit/>
          <w:tblHeader w:val="false"/>
        </w:trPr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1</w:t>
            </w:r>
          </w:p>
        </w:tc>
        <w:tc>
          <w:tcPr>
            <w:tcW w:type="dxa" w:w="192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Analyse</w:t>
            </w:r>
          </w:p>
        </w:tc>
        <w:tc>
          <w:tcPr>
            <w:tcW w:type="dxa" w:w="362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untersuchen, beschreiben, begründen</w:t>
            </w:r>
          </w:p>
        </w:tc>
        <w:tc>
          <w:tcPr>
            <w:tcW w:type="dxa" w:w="124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6</w:t>
            </w:r>
          </w:p>
        </w:tc>
        <w:tc>
          <w:tcPr>
            <w:tcW w:type="dxa" w:w="204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2</w:t>
            </w:r>
          </w:p>
        </w:tc>
        <w:tc>
          <w:tcPr>
            <w:tcW w:type="dxa" w:w="192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Entwurf</w:t>
            </w:r>
          </w:p>
        </w:tc>
        <w:tc>
          <w:tcPr>
            <w:tcW w:type="dxa" w:w="362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entwickeln, zeigen</w:t>
            </w:r>
          </w:p>
        </w:tc>
        <w:tc>
          <w:tcPr>
            <w:tcW w:type="dxa" w:w="124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7</w:t>
            </w:r>
          </w:p>
        </w:tc>
        <w:tc>
          <w:tcPr>
            <w:tcW w:type="dxa" w:w="204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3</w:t>
            </w:r>
          </w:p>
        </w:tc>
        <w:tc>
          <w:tcPr>
            <w:tcW w:type="dxa" w:w="192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Begründung</w:t>
            </w:r>
          </w:p>
        </w:tc>
        <w:tc>
          <w:tcPr>
            <w:tcW w:type="dxa" w:w="362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begründen, angeben</w:t>
            </w:r>
          </w:p>
        </w:tc>
        <w:tc>
          <w:tcPr>
            <w:tcW w:type="dxa" w:w="124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7</w:t>
            </w:r>
          </w:p>
        </w:tc>
        <w:tc>
          <w:tcPr>
            <w:tcW w:type="dxa" w:w="204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4</w:t>
            </w:r>
          </w:p>
        </w:tc>
        <w:tc>
          <w:tcPr>
            <w:tcW w:type="dxa" w:w="192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Dokumentation</w:t>
            </w:r>
          </w:p>
        </w:tc>
        <w:tc>
          <w:tcPr>
            <w:tcW w:type="dxa" w:w="362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dokumentieren, erläutern</w:t>
            </w:r>
          </w:p>
        </w:tc>
        <w:tc>
          <w:tcPr>
            <w:tcW w:type="dxa" w:w="124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6</w:t>
            </w:r>
          </w:p>
        </w:tc>
        <w:tc>
          <w:tcPr>
            <w:tcW w:type="dxa" w:w="204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</w:tbl>
    <w:p>
      <w:pPr>
        <w:spacing w:after="140" w:before="0"/>
      </w:pPr>
    </w:p>
    <w:p>
      <w:pPr>
        <w:spacing w:after="80" w:before="0"/>
      </w:pP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01"/>
        <w:gridCol w:w="170"/>
        <w:gridCol w:w="7995"/>
      </w:tblGrid>
      <w:tr>
        <w:trPr>
          <w:cantSplit/>
          <w:trHeight w:val="1701" w:hRule="atLeast"/>
        </w:trPr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933450" cy="933450"/>
                  <wp:effectExtent t="0" r="0" b="0" l="0"/>
                  <wp:docPr id="1" name="qr" descr="https://automatenlab.frankjuchim.de/#/sortierer?runde=1" title="QR-Co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0" w:before="0" w:line="276"/>
              <w:jc w:val="left"/>
            </w:pPr>
          </w:p>
        </w:tc>
        <w:tc>
          <w:tcPr>
            <w:tcW w:type="dxa" w:w="79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7F6" w:color="auto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AutomatenLab  </w:t>
            </w:r>
            <w:r>
              <w:rPr>
                <w:rFonts w:ascii="Cambria" w:cs="Cambria" w:eastAsia="Cambria" w:hAnsi="Cambria"/>
                <w:b/>
                <w:bCs/>
                <w:color w:val="0E6455"/>
                <w:sz w:val="24"/>
                <w:szCs w:val="24"/>
              </w:rPr>
              <w:t xml:space="preserve">Chomsky-Sortierer</w:t>
            </w:r>
          </w:p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10 Sprachkarten, drei Fächer: DEA reicht – Kellerautomat nötig – mehr nötig. Nach jeder Karte siehst du die Begründung.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Link: https://automatenlab.frankjuchim.de/#/sortierer?runde=1</w:t>
            </w:r>
          </w:p>
        </w:tc>
      </w:tr>
    </w:tbl>
    <w:p>
      <w:pPr>
        <w:spacing w:after="160" w:before="0"/>
      </w:pP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01"/>
        <w:gridCol w:w="170"/>
        <w:gridCol w:w="7995"/>
      </w:tblGrid>
      <w:tr>
        <w:trPr>
          <w:cantSplit/>
          <w:trHeight w:val="1701" w:hRule="atLeast"/>
        </w:trPr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933450" cy="933450"/>
                  <wp:effectExtent t="0" r="0" b="0" l="0"/>
                  <wp:docPr id="1" name="qr" descr="https://automatenlab.frankjuchim.de/#/quiz?welt=C" title="QR-Co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0" w:before="0" w:line="276"/>
              <w:jc w:val="left"/>
            </w:pPr>
          </w:p>
        </w:tc>
        <w:tc>
          <w:tcPr>
            <w:tcW w:type="dxa" w:w="79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7F6" w:color="auto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AutomatenLab  </w:t>
            </w:r>
            <w:r>
              <w:rPr>
                <w:rFonts w:ascii="Cambria" w:cs="Cambria" w:eastAsia="Cambria" w:hAnsi="Cambria"/>
                <w:b/>
                <w:bCs/>
                <w:color w:val="0E6455"/>
                <w:sz w:val="24"/>
                <w:szCs w:val="24"/>
              </w:rPr>
              <w:t xml:space="preserve">Level-Quiz Welt C</w:t>
            </w:r>
          </w:p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Exit-Ticket für ganz Welt C: Grammatiken, reguläre und kontextfreie Sprachen, Chomsky-Hierarchie.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Link: https://automatenlab.frankjuchim.de/#/quiz?welt=C</w:t>
            </w:r>
          </w:p>
        </w:tc>
      </w:tr>
    </w:tbl>
    <w:p>
      <w:pPr>
        <w:spacing w:after="160" w:before="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Selbstcheck – Level 14 geschafft, wenn …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zu einer Sprache die möglichst spezielle Grammatik und Maschine angeben und begründen kann.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die Zusammenhänge DEA – NEA – rechtsreguläre Grammatik und NKA – kontextfreie Grammatik erläutern kann.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Abi-Aufgaben zu Grammatiken analysieren, entwerfen, begründen und dokumentieren kann.</w:t>
      </w:r>
    </w:p>
    <w:p>
      <w:r>
        <w:br w:type="page"/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Kopiervorlage: Begriffskarten</w:t>
      </w:r>
    </w:p>
    <w:tbl>
      <w:tblPr>
        <w:tblW w:type="dxa" w:w="9864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2466"/>
        <w:gridCol w:w="2466"/>
        <w:gridCol w:w="2466"/>
        <w:gridCol w:w="2466"/>
      </w:tblGrid>
      <w:tr>
        <w:trPr>
          <w:cantSplit/>
          <w:tblHeader w:val="false"/>
          <w:trHeight w:val="851" w:hRule="atLeast"/>
        </w:trPr>
        <w:tc>
          <w:tcPr>
            <w:tcW w:type="dxa" w:w="24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Ableitung / Ableitungsbaum</w:t>
            </w:r>
          </w:p>
        </w:tc>
        <w:tc>
          <w:tcPr>
            <w:tcW w:type="dxa" w:w="24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DEA</w:t>
            </w:r>
          </w:p>
        </w:tc>
        <w:tc>
          <w:tcPr>
            <w:tcW w:type="dxa" w:w="24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Kellerautomat (NKA)</w:t>
            </w:r>
          </w:p>
        </w:tc>
        <w:tc>
          <w:tcPr>
            <w:tcW w:type="dxa" w:w="24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Mealy-Automat</w:t>
            </w:r>
          </w:p>
        </w:tc>
      </w:tr>
      <w:tr>
        <w:trPr>
          <w:cantSplit/>
          <w:tblHeader w:val="false"/>
          <w:trHeight w:val="851" w:hRule="atLeast"/>
        </w:trPr>
        <w:tc>
          <w:tcPr>
            <w:tcW w:type="dxa" w:w="24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Mehrdeutigkeit</w:t>
            </w:r>
          </w:p>
        </w:tc>
        <w:tc>
          <w:tcPr>
            <w:tcW w:type="dxa" w:w="24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NEA</w:t>
            </w:r>
          </w:p>
        </w:tc>
        <w:tc>
          <w:tcPr>
            <w:tcW w:type="dxa" w:w="24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Schubfachprinzip</w:t>
            </w:r>
          </w:p>
        </w:tc>
        <w:tc>
          <w:tcPr>
            <w:tcW w:type="dxa" w:w="24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Turingmaschine</w:t>
            </w:r>
          </w:p>
        </w:tc>
      </w:tr>
      <w:tr>
        <w:trPr>
          <w:cantSplit/>
          <w:tblHeader w:val="false"/>
          <w:trHeight w:val="851" w:hRule="atLeast"/>
        </w:trPr>
        <w:tc>
          <w:tcPr>
            <w:tcW w:type="dxa" w:w="24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Typ 1 / Typ 0</w:t>
            </w:r>
          </w:p>
        </w:tc>
        <w:tc>
          <w:tcPr>
            <w:tcW w:type="dxa" w:w="24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aⁿbⁿ, Palindrome, Klammern</w:t>
            </w:r>
          </w:p>
        </w:tc>
        <w:tc>
          <w:tcPr>
            <w:tcW w:type="dxa" w:w="24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aⁿbⁿcⁿ</w:t>
            </w:r>
          </w:p>
        </w:tc>
        <w:tc>
          <w:tcPr>
            <w:tcW w:type="dxa" w:w="24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endet auf ab</w:t>
            </w:r>
          </w:p>
        </w:tc>
      </w:tr>
      <w:tr>
        <w:trPr>
          <w:cantSplit/>
          <w:tblHeader w:val="false"/>
          <w:trHeight w:val="851" w:hRule="atLeast"/>
        </w:trPr>
        <w:tc>
          <w:tcPr>
            <w:tcW w:type="dxa" w:w="24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kontextfreie Sprachen (Typ 2)</w:t>
            </w:r>
          </w:p>
        </w:tc>
        <w:tc>
          <w:tcPr>
            <w:tcW w:type="dxa" w:w="24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kontextfreie Grammatik</w:t>
            </w:r>
          </w:p>
        </w:tc>
        <w:tc>
          <w:tcPr>
            <w:tcW w:type="dxa" w:w="24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rechtsreguläre Grammatik</w:t>
            </w:r>
          </w:p>
        </w:tc>
        <w:tc>
          <w:tcPr>
            <w:tcW w:type="dxa" w:w="24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reguläre Sprachen (Typ 3)</w:t>
            </w:r>
          </w:p>
        </w:tc>
      </w:tr>
      <w:tr>
        <w:trPr>
          <w:cantSplit/>
          <w:tblHeader w:val="false"/>
          <w:trHeight w:val="851" w:hRule="atLeast"/>
        </w:trPr>
        <w:tc>
          <w:tcPr>
            <w:tcW w:type="dxa" w:w="24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Zustand</w:t>
            </w:r>
          </w:p>
        </w:tc>
        <w:tc>
          <w:tcPr>
            <w:tcW w:type="dxa" w:w="24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Endzustand</w:t>
            </w:r>
          </w:p>
        </w:tc>
        <w:tc>
          <w:tcPr>
            <w:tcW w:type="dxa" w:w="24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Keller (Γ, #)</w:t>
            </w:r>
          </w:p>
        </w:tc>
        <w:tc>
          <w:tcPr>
            <w:tcW w:type="dxa" w:w="24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Nichtterminal</w:t>
            </w:r>
          </w:p>
        </w:tc>
      </w:tr>
      <w:tr>
        <w:trPr>
          <w:cantSplit/>
          <w:tblHeader w:val="false"/>
          <w:trHeight w:val="851" w:hRule="atLeast"/>
        </w:trPr>
        <w:tc>
          <w:tcPr>
            <w:tcW w:type="dxa" w:w="24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Startsymbol</w:t>
            </w:r>
          </w:p>
        </w:tc>
        <w:tc>
          <w:tcPr>
            <w:tcW w:type="dxa" w:w="24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Teilmengenkonstruktion</w:t>
            </w:r>
          </w:p>
        </w:tc>
        <w:tc>
          <w:tcPr>
            <w:tcW w:type="dxa" w:w="24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4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</w:tbl>
    <w:p>
      <w:pPr>
        <w:spacing w:after="140" w:before="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Verbindungskarten (mehrfach verwendbar – leere Karten selbst beschriften)</w:t>
      </w:r>
    </w:p>
    <w:tbl>
      <w:tblPr>
        <w:tblW w:type="dxa" w:w="9864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2466"/>
        <w:gridCol w:w="2466"/>
        <w:gridCol w:w="2466"/>
        <w:gridCol w:w="2466"/>
      </w:tblGrid>
      <w:tr>
        <w:trPr>
          <w:cantSplit/>
          <w:tblHeader w:val="false"/>
          <w:trHeight w:val="624" w:hRule="atLeast"/>
        </w:trPr>
        <w:tc>
          <w:tcPr>
            <w:tcW w:type="dxa" w:w="24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Beispiel für</w:t>
            </w:r>
          </w:p>
        </w:tc>
        <w:tc>
          <w:tcPr>
            <w:tcW w:type="dxa" w:w="24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Spezialfall von</w:t>
            </w:r>
          </w:p>
        </w:tc>
        <w:tc>
          <w:tcPr>
            <w:tcW w:type="dxa" w:w="24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erkennt</w:t>
            </w:r>
          </w:p>
        </w:tc>
        <w:tc>
          <w:tcPr>
            <w:tcW w:type="dxa" w:w="24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erweitert um Ausgabe</w:t>
            </w:r>
          </w:p>
        </w:tc>
      </w:tr>
      <w:tr>
        <w:trPr>
          <w:cantSplit/>
          <w:tblHeader w:val="false"/>
          <w:trHeight w:val="624" w:hRule="atLeast"/>
        </w:trPr>
        <w:tc>
          <w:tcPr>
            <w:tcW w:type="dxa" w:w="24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erweitert um Keller</w:t>
            </w:r>
          </w:p>
        </w:tc>
        <w:tc>
          <w:tcPr>
            <w:tcW w:type="dxa" w:w="24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erzeugt</w:t>
            </w:r>
          </w:p>
        </w:tc>
        <w:tc>
          <w:tcPr>
            <w:tcW w:type="dxa" w:w="24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gleich mächtig wie (Teilmengenkonstruktion)</w:t>
            </w:r>
          </w:p>
        </w:tc>
        <w:tc>
          <w:tcPr>
            <w:tcW w:type="dxa" w:w="24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mögliche Eigenschaft</w:t>
            </w:r>
          </w:p>
        </w:tc>
      </w:tr>
      <w:tr>
        <w:trPr>
          <w:cantSplit/>
          <w:tblHeader w:val="false"/>
          <w:trHeight w:val="624" w:hRule="atLeast"/>
        </w:trPr>
        <w:tc>
          <w:tcPr>
            <w:tcW w:type="dxa" w:w="24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zeigt, was erzeugt wird</w:t>
            </w:r>
          </w:p>
        </w:tc>
        <w:tc>
          <w:tcPr>
            <w:tcW w:type="dxa" w:w="24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zeigt: nicht regulär</w:t>
            </w:r>
          </w:p>
        </w:tc>
        <w:tc>
          <w:tcPr>
            <w:tcW w:type="dxa" w:w="24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übersetzbar in (Rezept)</w:t>
            </w:r>
          </w:p>
        </w:tc>
        <w:tc>
          <w:tcPr>
            <w:tcW w:type="dxa" w:w="24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erkennt</w:t>
            </w:r>
          </w:p>
        </w:tc>
      </w:tr>
      <w:tr>
        <w:trPr>
          <w:cantSplit/>
          <w:tblHeader w:val="false"/>
          <w:trHeight w:val="624" w:hRule="atLeast"/>
        </w:trPr>
        <w:tc>
          <w:tcPr>
            <w:tcW w:type="dxa" w:w="24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erzeugt</w:t>
            </w:r>
          </w:p>
        </w:tc>
        <w:tc>
          <w:tcPr>
            <w:tcW w:type="dxa" w:w="24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Beispiel für</w:t>
            </w:r>
          </w:p>
        </w:tc>
        <w:tc>
          <w:tcPr>
            <w:tcW w:type="dxa" w:w="24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Beispiel für</w:t>
            </w:r>
          </w:p>
        </w:tc>
        <w:tc>
          <w:tcPr>
            <w:tcW w:type="dxa" w:w="24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Spezialfall von</w:t>
            </w:r>
          </w:p>
        </w:tc>
      </w:tr>
      <w:tr>
        <w:trPr>
          <w:cantSplit/>
          <w:tblHeader w:val="false"/>
          <w:trHeight w:val="624" w:hRule="atLeast"/>
        </w:trPr>
        <w:tc>
          <w:tcPr>
            <w:tcW w:type="dxa" w:w="24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4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4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4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</w:tbl>
    <w:p>
      <w:pPr>
        <w:spacing w:after="140" w:before="0"/>
      </w:pPr>
    </w:p>
    <w:p>
      <w:r>
        <w:br w:type="page"/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Station 1 – Analyse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Ein Lagerroboter protokolliert seine Aktionen: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a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= Kiste aufnehmen,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f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= ein Feld fahren,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c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= Kiste abgeben. Gültige Protokolle werden von der Grammatik G</w:t>
      </w:r>
      <w:r>
        <w:rPr>
          <w:rFonts w:ascii="Calibri" w:cs="Calibri" w:eastAsia="Calibri" w:hAnsi="Calibri"/>
          <w:color w:val="1F2A2E"/>
          <w:sz w:val="22"/>
          <w:szCs w:val="22"/>
          <w:vertAlign w:val="subscript"/>
        </w:rPr>
        <w:t xml:space="preserve">L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erzeugt.</w:t>
      </w:r>
    </w:p>
    <w:tbl>
      <w:tblPr>
        <w:tblW w:type="dxa" w:w="3969"/>
        <w:tblBorders>
          <w:top w:val="single" w:color="C9D3D6" w:sz="6"/>
          <w:left w:val="single" w:color="C9D3D6" w:sz="6"/>
          <w:bottom w:val="single" w:color="C9D3D6" w:sz="6"/>
          <w:right w:val="single" w:color="C9D3D6" w:sz="6"/>
          <w:insideH w:val="none" w:color="FFFFFF" w:sz="0"/>
          <w:insideV w:val="none" w:color="FFFFFF" w:sz="0"/>
        </w:tblBorders>
        <w:tblLayout w:type="fixed"/>
      </w:tblPr>
      <w:tblGrid>
        <w:gridCol w:w="3969"/>
      </w:tblGrid>
      <w:tr>
        <w:trPr>
          <w:cantSplit/>
        </w:trPr>
        <w:tc>
          <w:tcPr>
            <w:tcW w:type="dxa" w:w="3969"/>
            <w:shd w:fill="F6F8F8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1"/>
                <w:szCs w:val="21"/>
              </w:rPr>
              <w:t xml:space="preserve">N = {S, F}</w:t>
            </w:r>
          </w:p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1"/>
                <w:szCs w:val="21"/>
              </w:rPr>
              <w:t xml:space="preserve">T = {a, f, c}</w:t>
            </w:r>
          </w:p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1"/>
                <w:szCs w:val="21"/>
              </w:rPr>
              <w:t xml:space="preserve">Startsymbol: S</w:t>
            </w:r>
          </w:p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1"/>
                <w:szCs w:val="21"/>
              </w:rPr>
              <w:t xml:space="preserve">Produktionsregeln:</w:t>
            </w:r>
          </w:p>
          <w:p>
            <w:pPr>
              <w:spacing w:after="30" w:before="0" w:line="276"/>
              <w:ind w:left="280"/>
              <w:jc w:val="left"/>
            </w:pPr>
            <w:r>
              <w:rPr>
                <w:rFonts w:ascii="Calibri" w:cs="Calibri" w:eastAsia="Calibri" w:hAnsi="Calibri"/>
                <w:color w:val="1F2A2E"/>
                <w:sz w:val="21"/>
                <w:szCs w:val="21"/>
              </w:rPr>
              <w:t xml:space="preserve">S → aSc | F</w:t>
            </w:r>
          </w:p>
          <w:p>
            <w:pPr>
              <w:spacing w:after="30" w:before="0" w:line="276"/>
              <w:ind w:left="280"/>
              <w:jc w:val="left"/>
            </w:pPr>
            <w:r>
              <w:rPr>
                <w:rFonts w:ascii="Calibri" w:cs="Calibri" w:eastAsia="Calibri" w:hAnsi="Calibri"/>
                <w:color w:val="1F2A2E"/>
                <w:sz w:val="21"/>
                <w:szCs w:val="21"/>
              </w:rPr>
              <w:t xml:space="preserve">F → fF | f</w:t>
            </w:r>
          </w:p>
        </w:tc>
      </w:tr>
    </w:tbl>
    <w:p>
      <w:pPr>
        <w:spacing w:after="140" w:before="60" w:line="276"/>
        <w:jc w:val="center"/>
      </w:pPr>
      <w:r>
        <w:rPr>
          <w:rFonts w:ascii="Calibri" w:cs="Calibri" w:eastAsia="Calibri" w:hAnsi="Calibri"/>
          <w:color w:val="5B6770"/>
          <w:sz w:val="18"/>
          <w:szCs w:val="18"/>
        </w:rPr>
        <w:t xml:space="preserve">Abbildung S1: Grammatik G</w:t>
      </w:r>
      <w:r>
        <w:rPr>
          <w:rFonts w:ascii="Calibri" w:cs="Calibri" w:eastAsia="Calibri" w:hAnsi="Calibri"/>
          <w:color w:val="5B6770"/>
          <w:sz w:val="18"/>
          <w:szCs w:val="18"/>
          <w:vertAlign w:val="subscript"/>
        </w:rPr>
        <w:t xml:space="preserve">L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Untersuchen Sie, ob die Protokolle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aaffcc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affcc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von G</w:t>
      </w:r>
      <w:r>
        <w:rPr>
          <w:rFonts w:ascii="Calibri" w:cs="Calibri" w:eastAsia="Calibri" w:hAnsi="Calibri"/>
          <w:color w:val="1F2A2E"/>
          <w:sz w:val="22"/>
          <w:szCs w:val="22"/>
          <w:vertAlign w:val="subscript"/>
        </w:rPr>
        <w:t xml:space="preserve">L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erzeugt werden.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[2 BE]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Beschreiben Sie die Sprache L(G</w:t>
      </w:r>
      <w:r>
        <w:rPr>
          <w:rFonts w:ascii="Calibri" w:cs="Calibri" w:eastAsia="Calibri" w:hAnsi="Calibri"/>
          <w:color w:val="1F2A2E"/>
          <w:sz w:val="22"/>
          <w:szCs w:val="22"/>
          <w:vertAlign w:val="subscript"/>
        </w:rPr>
        <w:t xml:space="preserve">L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) und die Bedeutung des Nichtterminals F im Sachzusammenhang.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[3 BE]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c)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Begründen Sie, dass G</w:t>
      </w:r>
      <w:r>
        <w:rPr>
          <w:rFonts w:ascii="Calibri" w:cs="Calibri" w:eastAsia="Calibri" w:hAnsi="Calibri"/>
          <w:color w:val="1F2A2E"/>
          <w:sz w:val="22"/>
          <w:szCs w:val="22"/>
          <w:vertAlign w:val="subscript"/>
        </w:rPr>
        <w:t xml:space="preserve">L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keine reguläre Grammatik ist.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[1 BE]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Station 2 – Entwurf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Paketcodes bestehen aus den Zeichen Σ = {k, g, z, p}: Ein Code beginnt mit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k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(kleines Paket) oder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g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(großes Paket), danach folgen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mindestens zwei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Ziffern, die durch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z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dargestellt werden, am Ende steht genau ein Prüfzeichen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p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 Beispiel: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gzzzp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Entwickeln Sie eine reguläre Grammatik, die genau die Paketcodes erzeugt.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[3 BE]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Zeigen Sie mit Ihrer Grammatik, dass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kzzzp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erzeugt wird.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[1 BE]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c)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Entwickeln Sie aus Ihrer Grammatik den Zustandsgraphen eines DEA, der genau die Paketcodes akzeptiert. Auf die Darstellung des Fehlerzustands kann verzichtet werden.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[3 BE]</w:t>
      </w:r>
    </w:p>
    <w:p>
      <w:r>
        <w:br w:type="page"/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Station 3 – Begründung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Betrachtet wird die Sprache L = {aⁿfᵐcⁿ | n ≥ 0, m ≥ 1} der Lagerroboter-Protokolle aus Station 1.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Begründen Sie, dass L nicht regulär ist.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[4 BE]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Geben Sie für die folgenden Sprachen jeweils die möglichst spezielle Maschine an, die genau diese Sprache akzeptiert, und begründen Sie Ihre Angabe kurz: (1) die Paketcodes aus Station 2, (2) die Sprache L, (3) die Protokolle aⁿfⁿcⁿ (n ≥ 1), bei denen genauso oft gefahren wird, wie Kisten aufgenommen und abgegeben werden.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[3 BE]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Station 4 – Dokumentation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Der Kellerautomat in Abbildung S4 prüft Lagerroboter-Protokolle. Γ = {#, A}, # ist das Vorbelegungszeichen.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4495800" cy="1209675"/>
            <wp:effectExtent t="0" r="0" b="0" l="0"/>
            <wp:docPr id="1" name="lager_nka.png" descr="Abbildung S4: Kellerautomat für Protokolle. Alle nicht eingezeichneten Übergänge führen in einen Fehlerzustand." title="Abbildung S4: Kellerautomat für Protokolle. Alle nicht eingezeichneten Übergänge führen in einen Fehlerzustan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Abbildung S4: Kellerautomat für Protokolle. Alle nicht eingezeichneten Übergänge führen in einen Fehlerzustand.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Dokumentieren Sie die Verarbeitung der Eingabe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aafcc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durch den Kellerautomaten in einer Tabelle. Geben Sie an, ob die Eingabe akzeptiert wird.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[4 BE]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474"/>
        <w:gridCol w:w="2722"/>
        <w:gridCol w:w="2722"/>
        <w:gridCol w:w="2948"/>
      </w:tblGrid>
      <w:tr>
        <w:trPr>
          <w:cantSplit/>
          <w:tblHeader/>
          <w:trHeight w:val="369" w:hRule="atLeast"/>
        </w:trPr>
        <w:tc>
          <w:tcPr>
            <w:tcW w:type="dxa" w:w="147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Zustand</w:t>
            </w:r>
          </w:p>
        </w:tc>
        <w:tc>
          <w:tcPr>
            <w:tcW w:type="dxa" w:w="2722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Belegung Kellerspeicher</w:t>
            </w:r>
          </w:p>
        </w:tc>
        <w:tc>
          <w:tcPr>
            <w:tcW w:type="dxa" w:w="2722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oberstes Kellersymbol</w:t>
            </w:r>
          </w:p>
        </w:tc>
        <w:tc>
          <w:tcPr>
            <w:tcW w:type="dxa" w:w="294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verarbeitetes Eingabezeichen</w:t>
            </w:r>
          </w:p>
        </w:tc>
      </w:tr>
      <w:tr>
        <w:trPr>
          <w:cantSplit/>
          <w:tblHeader w:val="false"/>
          <w:trHeight w:val="369" w:hRule="atLeast"/>
        </w:trPr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S0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–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–</w:t>
            </w:r>
          </w:p>
        </w:tc>
      </w:tr>
      <w:tr>
        <w:trPr>
          <w:cantSplit/>
          <w:tblHeader w:val="false"/>
          <w:trHeight w:val="369" w:hRule="atLeast"/>
        </w:trPr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369" w:hRule="atLeast"/>
        </w:trPr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369" w:hRule="atLeast"/>
        </w:trPr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369" w:hRule="atLeast"/>
        </w:trPr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369" w:hRule="atLeast"/>
        </w:trPr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369" w:hRule="atLeast"/>
        </w:trPr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</w:tbl>
    <w:p>
      <w:pPr>
        <w:spacing w:after="140" w:before="0"/>
      </w:pP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Eingabe wird akzeptiert:   ☐ ja    ☐ nein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Erläutern Sie die Bedeutung des Kellerinhalts im Sachzusammenhang.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[2 BE]</w:t>
      </w:r>
    </w:p>
    <w:p>
      <w:r>
        <w:br w:type="page"/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Lösungskarten zur Selbstkontrolle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5B6770"/>
          <w:sz w:val="18"/>
          <w:szCs w:val="18"/>
        </w:rPr>
        <w:t xml:space="preserve">An den Stationen umgedreht auslegen oder an der gestrichelten Linie abknicken. Erst nach der Bearbeitung ansehen!</w:t>
      </w:r>
    </w:p>
    <w:tbl>
      <w:tblPr>
        <w:tblW w:type="dxa" w:w="9866"/>
        <w:tblBorders>
          <w:top w:val="single" w:color="C9D3D6" w:sz="6"/>
          <w:left w:val="single" w:color="C9D3D6" w:sz="6"/>
          <w:bottom w:val="single" w:color="C9D3D6" w:sz="6"/>
          <w:right w:val="single" w:color="C9D3D6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4F6F7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5B6770"/>
                <w:sz w:val="23"/>
                <w:szCs w:val="23"/>
              </w:rPr>
              <w:t xml:space="preserve">Lösung Station 1 – Analyse (6 BE)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a) aaffcc: S ⇒ aSc ⇒ aaScc ⇒ aaFcc ⇒ aafFcc ⇒ aaffcc – wird erzeugt (1 BE). affcc: Jede Anwendung von S → aSc erzeugt genau ein a und ein c, also enthalten alle Wörter gleich viele a und c; affcc hat ein a, aber zwei c – wird nicht erzeugt (1 BE).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b) L(G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bscript"/>
              </w:rPr>
              <w:t xml:space="preserve">L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) = {aⁿfᵐcⁿ | n ≥ 0, m ≥ 1}: Erst werden n Kisten aufgenommen, dann fährt der Roboter mindestens ein Feld, dann gibt er genau so viele Kisten ab (2 BE). F erzeugt die Fahrstrecke aus mindestens einem f (1 BE).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c) In S → aSc steht rechts vom Nichtterminal noch ein Terminal; zulässig wären nur A → aB, A → a, A → ε (1 BE).</w:t>
            </w:r>
          </w:p>
        </w:tc>
      </w:tr>
    </w:tbl>
    <w:p>
      <w:pPr>
        <w:spacing w:after="140" w:before="0"/>
      </w:pPr>
    </w:p>
    <w:tbl>
      <w:tblPr>
        <w:tblW w:type="dxa" w:w="9866"/>
        <w:tblBorders>
          <w:top w:val="single" w:color="C9D3D6" w:sz="6"/>
          <w:left w:val="single" w:color="C9D3D6" w:sz="6"/>
          <w:bottom w:val="single" w:color="C9D3D6" w:sz="6"/>
          <w:right w:val="single" w:color="C9D3D6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4F6F7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5B6770"/>
                <w:sz w:val="23"/>
                <w:szCs w:val="23"/>
              </w:rPr>
              <w:t xml:space="preserve">Lösung Station 2 – Entwurf (7 BE)</w:t>
            </w:r>
          </w:p>
          <w:tbl>
            <w:tblPr>
              <w:tblW w:type="dxa" w:w="9412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309"/>
              <w:gridCol w:w="5103"/>
            </w:tblGrid>
            <w:tr>
              <w:trPr>
                <w:cantSplit/>
              </w:trPr>
              <w:tc>
                <w:tcPr>
                  <w:tcW w:type="dxa" w:w="430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80"/>
                  </w:tcMar>
                </w:tcPr>
                <w:p>
                  <w:pPr>
                    <w:spacing w:after="10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a) N = {S, A, B, C}, T = {k, g, z, p}, Startsymbol S (3 BE):</w:t>
                  </w:r>
                </w:p>
                <w:tbl>
                  <w:tblPr>
                    <w:tblW w:type="dxa" w:w="3402"/>
                    <w:tblBorders>
                      <w:top w:val="single" w:color="C9D3D6" w:sz="6"/>
                      <w:left w:val="single" w:color="C9D3D6" w:sz="6"/>
                      <w:bottom w:val="single" w:color="C9D3D6" w:sz="6"/>
                      <w:right w:val="single" w:color="C9D3D6" w:sz="6"/>
                      <w:insideH w:val="none" w:color="FFFFFF" w:sz="0"/>
                      <w:insideV w:val="none" w:color="FFFFFF" w:sz="0"/>
                    </w:tblBorders>
                    <w:tblLayout w:type="fixed"/>
                  </w:tblPr>
                  <w:tblGrid>
                    <w:gridCol w:w="3402"/>
                  </w:tblGrid>
                  <w:tr>
                    <w:trPr>
                      <w:cantSplit/>
                    </w:trPr>
                    <w:tc>
                      <w:tcPr>
                        <w:tcW w:type="dxa" w:w="3402"/>
                        <w:shd w:fill="F6F8F8" w:color="auto" w:val="clear"/>
                        <w:tcMar>
                          <w:top w:type="dxa" w:w="120"/>
                          <w:left w:type="dxa" w:w="200"/>
                          <w:bottom w:type="dxa" w:w="100"/>
                          <w:right w:type="dxa" w:w="200"/>
                        </w:tcMar>
                        <w:vAlign w:val="top"/>
                      </w:tcPr>
                      <w:p>
                        <w:pPr>
                          <w:spacing w:after="30" w:before="0" w:line="276"/>
                          <w:ind w:left="28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color w:val="1F2A2E"/>
                            <w:sz w:val="19"/>
                            <w:szCs w:val="19"/>
                          </w:rPr>
                          <w:t xml:space="preserve">S → kA | gA</w:t>
                        </w:r>
                      </w:p>
                      <w:p>
                        <w:pPr>
                          <w:spacing w:after="30" w:before="0" w:line="276"/>
                          <w:ind w:left="28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color w:val="1F2A2E"/>
                            <w:sz w:val="19"/>
                            <w:szCs w:val="19"/>
                          </w:rPr>
                          <w:t xml:space="preserve">A → zB</w:t>
                        </w:r>
                      </w:p>
                      <w:p>
                        <w:pPr>
                          <w:spacing w:after="30" w:before="0" w:line="276"/>
                          <w:ind w:left="28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color w:val="1F2A2E"/>
                            <w:sz w:val="19"/>
                            <w:szCs w:val="19"/>
                          </w:rPr>
                          <w:t xml:space="preserve">B → zC</w:t>
                        </w:r>
                      </w:p>
                      <w:p>
                        <w:pPr>
                          <w:spacing w:after="30" w:before="0" w:line="276"/>
                          <w:ind w:left="28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color w:val="1F2A2E"/>
                            <w:sz w:val="19"/>
                            <w:szCs w:val="19"/>
                          </w:rPr>
                          <w:t xml:space="preserve">C → zC | p</w:t>
                        </w:r>
                      </w:p>
                    </w:tc>
                  </w:tr>
                </w:tbl>
                <w:p>
                  <w:pPr>
                    <w:spacing w:after="120" w:before="0"/>
                  </w:pPr>
                </w:p>
                <w:p>
                  <w:pPr>
                    <w:spacing w:after="10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b) S ⇒ kA ⇒ kzB ⇒ kzzC ⇒ kzzzC ⇒ kzzzp (1 BE)</w:t>
                  </w:r>
                </w:p>
              </w:tc>
              <w:tc>
                <w:tcPr>
                  <w:tcW w:type="dxa" w:w="510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80"/>
                    <w:bottom w:type="dxa" w:w="0"/>
                    <w:right w:type="dxa" w:w="0"/>
                  </w:tcMar>
                </w:tcPr>
                <w:p>
                  <w:pPr>
                    <w:spacing w:after="10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c) DEA nach dem Rezept, Zustände S0–S3 entsprechen S, A, B, C; S4 neu für C → p (3 BE):</w:t>
                  </w:r>
                </w:p>
                <w:p>
                  <w:pPr>
                    <w:keepNext/>
                    <w:spacing w:after="20" w:before="60"/>
                    <w:jc w:val="center"/>
                  </w:pPr>
                  <w:r>
                    <w:drawing>
                      <wp:inline distT="0" distB="0" distL="0" distR="0">
                        <wp:extent cx="2990850" cy="542925"/>
                        <wp:effectExtent t="0" r="0" b="0" l="0"/>
                        <wp:docPr id="1" name="paket_dea.png" descr="Alle nicht eingezeichneten Übergänge führen in einen Fehlerzustand." title="Alle nicht eingezeichneten Übergänge führen in einen Fehlerzustand.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90850" cy="542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1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5B6770"/>
                      <w:sz w:val="18"/>
                      <w:szCs w:val="18"/>
                    </w:rPr>
                    <w:t xml:space="preserve">Alle nicht eingezeichneten Übergänge führen in einen Fehlerzustand.</w:t>
                  </w:r>
                </w:p>
              </w:tc>
            </w:tr>
          </w:tbl>
          <w:p/>
        </w:tc>
      </w:tr>
    </w:tbl>
    <w:p>
      <w:pPr>
        <w:spacing w:after="140" w:before="0"/>
      </w:pPr>
    </w:p>
    <w:tbl>
      <w:tblPr>
        <w:tblW w:type="dxa" w:w="9866"/>
        <w:tblBorders>
          <w:top w:val="single" w:color="C9D3D6" w:sz="6"/>
          <w:left w:val="single" w:color="C9D3D6" w:sz="6"/>
          <w:bottom w:val="single" w:color="C9D3D6" w:sz="6"/>
          <w:right w:val="single" w:color="C9D3D6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4F6F7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5B6770"/>
                <w:sz w:val="23"/>
                <w:szCs w:val="23"/>
              </w:rPr>
              <w:t xml:space="preserve">Lösung Station 3 – Begründung (7 BE)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a) Annahme: Ein DEA mit k Zuständen akzeptiert L (1 BE). Er liest die k + 1 Präfixe ε, a, aa, …, aᵏ; nach dem Schubfachprinzip endet er für zwei davon, aⁱ und aʲ mit i ≠ j, im selben Zustand (1 BE). Dann verhält er sich bei den Fortsetzungen gleich: aⁱfcⁱ gehört zu L, aʲfcⁱ nicht (1 BE) – Widerspruch, L ist nicht regulär (1 BE).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(1) DEA – endliches Muster ohne unbeschränktes Zählen (1 BE). (2) Kellerautomat – L ist kontextfrei (Grammatik G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bscript"/>
              </w:rPr>
              <w:t xml:space="preserve">L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), aber nach a) nicht regulär; der Keller zählt die a (1 BE). (3) Weder DEA noch Kellerautomat: Es müssen zwei Anzahlen mit n verglichen werden, ein Keller kann nur einmal abgebaut werden – mehr als ein Kellerautomat nötig: linear beschränkter Automat bzw. Turingmaschine (Typ 1, Ausblick) (1 BE).</w:t>
            </w:r>
          </w:p>
        </w:tc>
      </w:tr>
    </w:tbl>
    <w:p>
      <w:pPr>
        <w:spacing w:after="140" w:before="0"/>
      </w:pPr>
    </w:p>
    <w:tbl>
      <w:tblPr>
        <w:tblW w:type="dxa" w:w="9866"/>
        <w:tblBorders>
          <w:top w:val="single" w:color="C9D3D6" w:sz="6"/>
          <w:left w:val="single" w:color="C9D3D6" w:sz="6"/>
          <w:bottom w:val="single" w:color="C9D3D6" w:sz="6"/>
          <w:right w:val="single" w:color="C9D3D6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4F6F7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5B6770"/>
                <w:sz w:val="23"/>
                <w:szCs w:val="23"/>
              </w:rPr>
              <w:t xml:space="preserve">Lösung Station 4 – Dokumentation (6 BE)</w:t>
            </w:r>
          </w:p>
          <w:tbl>
            <w:tblPr>
              <w:tblW w:type="dxa" w:w="9412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6237"/>
              <w:gridCol w:w="3175"/>
            </w:tblGrid>
            <w:tr>
              <w:trPr>
                <w:cantSplit/>
              </w:trPr>
              <w:tc>
                <w:tcPr>
                  <w:tcW w:type="dxa" w:w="623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80"/>
                  </w:tcMar>
                </w:tcPr>
                <w:tbl>
                  <w:tblPr>
                    <w:tblW w:type="dxa" w:w="6124"/>
                    <w:tblBorders>
                      <w:top w:val="single" w:color="C9D3D6" w:sz="4"/>
                      <w:left w:val="single" w:color="C9D3D6" w:sz="4"/>
                      <w:bottom w:val="single" w:color="C9D3D6" w:sz="4"/>
                      <w:right w:val="single" w:color="C9D3D6" w:sz="4"/>
                      <w:insideH w:val="single" w:color="C9D3D6" w:sz="4"/>
                      <w:insideV w:val="single" w:color="C9D3D6" w:sz="4"/>
                    </w:tblBorders>
                    <w:tblLayout w:type="fixed"/>
                  </w:tblPr>
                  <w:tblGrid>
                    <w:gridCol w:w="1021"/>
                    <w:gridCol w:w="1701"/>
                    <w:gridCol w:w="1588"/>
                    <w:gridCol w:w="1814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21"/>
                        <w:shd w:fill="0E6455" w:color="auto" w:val="clear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  <w:vAlign w:val="center"/>
                      </w:tcPr>
                      <w:p>
                        <w:pPr>
                          <w:spacing w:after="40" w:before="0" w:line="276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FFFFFF"/>
                            <w:sz w:val="17"/>
                            <w:szCs w:val="17"/>
                          </w:rPr>
                          <w:t xml:space="preserve">Zustand</w:t>
                        </w:r>
                      </w:p>
                    </w:tc>
                    <w:tc>
                      <w:tcPr>
                        <w:tcW w:type="dxa" w:w="1701"/>
                        <w:shd w:fill="0E6455" w:color="auto" w:val="clear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  <w:vAlign w:val="center"/>
                      </w:tcPr>
                      <w:p>
                        <w:pPr>
                          <w:spacing w:after="40" w:before="0" w:line="276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FFFFFF"/>
                            <w:sz w:val="17"/>
                            <w:szCs w:val="17"/>
                          </w:rPr>
                          <w:t xml:space="preserve">Belegung Kellerspeicher</w:t>
                        </w:r>
                      </w:p>
                    </w:tc>
                    <w:tc>
                      <w:tcPr>
                        <w:tcW w:type="dxa" w:w="1588"/>
                        <w:shd w:fill="0E6455" w:color="auto" w:val="clear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  <w:vAlign w:val="center"/>
                      </w:tcPr>
                      <w:p>
                        <w:pPr>
                          <w:spacing w:after="40" w:before="0" w:line="276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FFFFFF"/>
                            <w:sz w:val="17"/>
                            <w:szCs w:val="17"/>
                          </w:rPr>
                          <w:t xml:space="preserve">oberstes Kellersymbol</w:t>
                        </w:r>
                      </w:p>
                    </w:tc>
                    <w:tc>
                      <w:tcPr>
                        <w:tcW w:type="dxa" w:w="1814"/>
                        <w:shd w:fill="0E6455" w:color="auto" w:val="clear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  <w:vAlign w:val="center"/>
                      </w:tcPr>
                      <w:p>
                        <w:pPr>
                          <w:spacing w:after="40" w:before="0" w:line="276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FFFFFF"/>
                            <w:sz w:val="17"/>
                            <w:szCs w:val="17"/>
                          </w:rPr>
                          <w:t xml:space="preserve">verarbeitetes Eingabezeichen</w:t>
                        </w:r>
                      </w:p>
                    </w:tc>
                  </w:tr>
                  <w:tr>
                    <w:trPr>
                      <w:cantSplit/>
                      <w:tblHeader w:val="false"/>
                    </w:trPr>
                    <w:tc>
                      <w:tcPr>
                        <w:tcW w:type="dxa" w:w="1021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  <w:vAlign w:val="center"/>
                      </w:tcPr>
                      <w:p>
                        <w:pPr>
                          <w:spacing w:after="40" w:before="0" w:line="276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color w:val="1F2A2E"/>
                            <w:sz w:val="17"/>
                            <w:szCs w:val="17"/>
                          </w:rPr>
                          <w:t xml:space="preserve">S0</w:t>
                        </w:r>
                      </w:p>
                    </w:tc>
                    <w:tc>
                      <w:tcPr>
                        <w:tcW w:type="dxa" w:w="1701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  <w:vAlign w:val="center"/>
                      </w:tcPr>
                      <w:p>
                        <w:pPr>
                          <w:spacing w:after="40" w:before="0" w:line="276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color w:val="1F2A2E"/>
                            <w:sz w:val="17"/>
                            <w:szCs w:val="17"/>
                          </w:rPr>
                          <w:t xml:space="preserve">#</w:t>
                        </w:r>
                      </w:p>
                    </w:tc>
                    <w:tc>
                      <w:tcPr>
                        <w:tcW w:type="dxa" w:w="1588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  <w:vAlign w:val="center"/>
                      </w:tcPr>
                      <w:p>
                        <w:pPr>
                          <w:spacing w:after="40" w:before="0" w:line="276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color w:val="1F2A2E"/>
                            <w:sz w:val="17"/>
                            <w:szCs w:val="17"/>
                          </w:rPr>
                          <w:t xml:space="preserve">–</w:t>
                        </w:r>
                      </w:p>
                    </w:tc>
                    <w:tc>
                      <w:tcPr>
                        <w:tcW w:type="dxa" w:w="1814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  <w:vAlign w:val="center"/>
                      </w:tcPr>
                      <w:p>
                        <w:pPr>
                          <w:spacing w:after="40" w:before="0" w:line="276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color w:val="1F2A2E"/>
                            <w:sz w:val="17"/>
                            <w:szCs w:val="17"/>
                          </w:rPr>
                          <w:t xml:space="preserve">–</w:t>
                        </w:r>
                      </w:p>
                    </w:tc>
                  </w:tr>
                  <w:tr>
                    <w:trPr>
                      <w:cantSplit/>
                      <w:tblHeader w:val="false"/>
                    </w:trPr>
                    <w:tc>
                      <w:tcPr>
                        <w:tcW w:type="dxa" w:w="1021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  <w:vAlign w:val="center"/>
                      </w:tcPr>
                      <w:p>
                        <w:pPr>
                          <w:spacing w:after="40" w:before="0" w:line="276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color w:val="1F2A2E"/>
                            <w:sz w:val="17"/>
                            <w:szCs w:val="17"/>
                          </w:rPr>
                          <w:t xml:space="preserve">S0</w:t>
                        </w:r>
                      </w:p>
                    </w:tc>
                    <w:tc>
                      <w:tcPr>
                        <w:tcW w:type="dxa" w:w="1701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  <w:vAlign w:val="center"/>
                      </w:tcPr>
                      <w:p>
                        <w:pPr>
                          <w:spacing w:after="40" w:before="0" w:line="276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color w:val="1F2A2E"/>
                            <w:sz w:val="17"/>
                            <w:szCs w:val="17"/>
                          </w:rPr>
                          <w:t xml:space="preserve">A#</w:t>
                        </w:r>
                      </w:p>
                    </w:tc>
                    <w:tc>
                      <w:tcPr>
                        <w:tcW w:type="dxa" w:w="1588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  <w:vAlign w:val="center"/>
                      </w:tcPr>
                      <w:p>
                        <w:pPr>
                          <w:spacing w:after="40" w:before="0" w:line="276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color w:val="1F2A2E"/>
                            <w:sz w:val="17"/>
                            <w:szCs w:val="17"/>
                          </w:rPr>
                          <w:t xml:space="preserve">#</w:t>
                        </w:r>
                      </w:p>
                    </w:tc>
                    <w:tc>
                      <w:tcPr>
                        <w:tcW w:type="dxa" w:w="1814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  <w:vAlign w:val="center"/>
                      </w:tcPr>
                      <w:p>
                        <w:pPr>
                          <w:spacing w:after="40" w:before="0" w:line="276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color w:val="1F2A2E"/>
                            <w:sz w:val="17"/>
                            <w:szCs w:val="17"/>
                          </w:rPr>
                          <w:t xml:space="preserve">a</w:t>
                        </w:r>
                      </w:p>
                    </w:tc>
                  </w:tr>
                  <w:tr>
                    <w:trPr>
                      <w:cantSplit/>
                      <w:tblHeader w:val="false"/>
                    </w:trPr>
                    <w:tc>
                      <w:tcPr>
                        <w:tcW w:type="dxa" w:w="1021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  <w:vAlign w:val="center"/>
                      </w:tcPr>
                      <w:p>
                        <w:pPr>
                          <w:spacing w:after="40" w:before="0" w:line="276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color w:val="1F2A2E"/>
                            <w:sz w:val="17"/>
                            <w:szCs w:val="17"/>
                          </w:rPr>
                          <w:t xml:space="preserve">S0</w:t>
                        </w:r>
                      </w:p>
                    </w:tc>
                    <w:tc>
                      <w:tcPr>
                        <w:tcW w:type="dxa" w:w="1701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  <w:vAlign w:val="center"/>
                      </w:tcPr>
                      <w:p>
                        <w:pPr>
                          <w:spacing w:after="40" w:before="0" w:line="276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color w:val="1F2A2E"/>
                            <w:sz w:val="17"/>
                            <w:szCs w:val="17"/>
                          </w:rPr>
                          <w:t xml:space="preserve">AA#</w:t>
                        </w:r>
                      </w:p>
                    </w:tc>
                    <w:tc>
                      <w:tcPr>
                        <w:tcW w:type="dxa" w:w="1588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  <w:vAlign w:val="center"/>
                      </w:tcPr>
                      <w:p>
                        <w:pPr>
                          <w:spacing w:after="40" w:before="0" w:line="276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color w:val="1F2A2E"/>
                            <w:sz w:val="17"/>
                            <w:szCs w:val="17"/>
                          </w:rPr>
                          <w:t xml:space="preserve">A</w:t>
                        </w:r>
                      </w:p>
                    </w:tc>
                    <w:tc>
                      <w:tcPr>
                        <w:tcW w:type="dxa" w:w="1814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  <w:vAlign w:val="center"/>
                      </w:tcPr>
                      <w:p>
                        <w:pPr>
                          <w:spacing w:after="40" w:before="0" w:line="276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color w:val="1F2A2E"/>
                            <w:sz w:val="17"/>
                            <w:szCs w:val="17"/>
                          </w:rPr>
                          <w:t xml:space="preserve">a</w:t>
                        </w:r>
                      </w:p>
                    </w:tc>
                  </w:tr>
                  <w:tr>
                    <w:trPr>
                      <w:cantSplit/>
                      <w:tblHeader w:val="false"/>
                    </w:trPr>
                    <w:tc>
                      <w:tcPr>
                        <w:tcW w:type="dxa" w:w="1021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  <w:vAlign w:val="center"/>
                      </w:tcPr>
                      <w:p>
                        <w:pPr>
                          <w:spacing w:after="40" w:before="0" w:line="276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color w:val="1F2A2E"/>
                            <w:sz w:val="17"/>
                            <w:szCs w:val="17"/>
                          </w:rPr>
                          <w:t xml:space="preserve">S1</w:t>
                        </w:r>
                      </w:p>
                    </w:tc>
                    <w:tc>
                      <w:tcPr>
                        <w:tcW w:type="dxa" w:w="1701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  <w:vAlign w:val="center"/>
                      </w:tcPr>
                      <w:p>
                        <w:pPr>
                          <w:spacing w:after="40" w:before="0" w:line="276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color w:val="1F2A2E"/>
                            <w:sz w:val="17"/>
                            <w:szCs w:val="17"/>
                          </w:rPr>
                          <w:t xml:space="preserve">AA#</w:t>
                        </w:r>
                      </w:p>
                    </w:tc>
                    <w:tc>
                      <w:tcPr>
                        <w:tcW w:type="dxa" w:w="1588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  <w:vAlign w:val="center"/>
                      </w:tcPr>
                      <w:p>
                        <w:pPr>
                          <w:spacing w:after="40" w:before="0" w:line="276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color w:val="1F2A2E"/>
                            <w:sz w:val="17"/>
                            <w:szCs w:val="17"/>
                          </w:rPr>
                          <w:t xml:space="preserve">A</w:t>
                        </w:r>
                      </w:p>
                    </w:tc>
                    <w:tc>
                      <w:tcPr>
                        <w:tcW w:type="dxa" w:w="1814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  <w:vAlign w:val="center"/>
                      </w:tcPr>
                      <w:p>
                        <w:pPr>
                          <w:spacing w:after="40" w:before="0" w:line="276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color w:val="1F2A2E"/>
                            <w:sz w:val="17"/>
                            <w:szCs w:val="17"/>
                          </w:rPr>
                          <w:t xml:space="preserve">f</w:t>
                        </w:r>
                      </w:p>
                    </w:tc>
                  </w:tr>
                  <w:tr>
                    <w:trPr>
                      <w:cantSplit/>
                      <w:tblHeader w:val="false"/>
                    </w:trPr>
                    <w:tc>
                      <w:tcPr>
                        <w:tcW w:type="dxa" w:w="1021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  <w:vAlign w:val="center"/>
                      </w:tcPr>
                      <w:p>
                        <w:pPr>
                          <w:spacing w:after="40" w:before="0" w:line="276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color w:val="1F2A2E"/>
                            <w:sz w:val="17"/>
                            <w:szCs w:val="17"/>
                          </w:rPr>
                          <w:t xml:space="preserve">S2</w:t>
                        </w:r>
                      </w:p>
                    </w:tc>
                    <w:tc>
                      <w:tcPr>
                        <w:tcW w:type="dxa" w:w="1701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  <w:vAlign w:val="center"/>
                      </w:tcPr>
                      <w:p>
                        <w:pPr>
                          <w:spacing w:after="40" w:before="0" w:line="276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color w:val="1F2A2E"/>
                            <w:sz w:val="17"/>
                            <w:szCs w:val="17"/>
                          </w:rPr>
                          <w:t xml:space="preserve">A#</w:t>
                        </w:r>
                      </w:p>
                    </w:tc>
                    <w:tc>
                      <w:tcPr>
                        <w:tcW w:type="dxa" w:w="1588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  <w:vAlign w:val="center"/>
                      </w:tcPr>
                      <w:p>
                        <w:pPr>
                          <w:spacing w:after="40" w:before="0" w:line="276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color w:val="1F2A2E"/>
                            <w:sz w:val="17"/>
                            <w:szCs w:val="17"/>
                          </w:rPr>
                          <w:t xml:space="preserve">A</w:t>
                        </w:r>
                      </w:p>
                    </w:tc>
                    <w:tc>
                      <w:tcPr>
                        <w:tcW w:type="dxa" w:w="1814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  <w:vAlign w:val="center"/>
                      </w:tcPr>
                      <w:p>
                        <w:pPr>
                          <w:spacing w:after="40" w:before="0" w:line="276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color w:val="1F2A2E"/>
                            <w:sz w:val="17"/>
                            <w:szCs w:val="17"/>
                          </w:rPr>
                          <w:t xml:space="preserve">c</w:t>
                        </w:r>
                      </w:p>
                    </w:tc>
                  </w:tr>
                  <w:tr>
                    <w:trPr>
                      <w:cantSplit/>
                      <w:tblHeader w:val="false"/>
                    </w:trPr>
                    <w:tc>
                      <w:tcPr>
                        <w:tcW w:type="dxa" w:w="1021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  <w:vAlign w:val="center"/>
                      </w:tcPr>
                      <w:p>
                        <w:pPr>
                          <w:spacing w:after="40" w:before="0" w:line="276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color w:val="1F2A2E"/>
                            <w:sz w:val="17"/>
                            <w:szCs w:val="17"/>
                          </w:rPr>
                          <w:t xml:space="preserve">S2</w:t>
                        </w:r>
                      </w:p>
                    </w:tc>
                    <w:tc>
                      <w:tcPr>
                        <w:tcW w:type="dxa" w:w="1701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  <w:vAlign w:val="center"/>
                      </w:tcPr>
                      <w:p>
                        <w:pPr>
                          <w:spacing w:after="40" w:before="0" w:line="276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color w:val="1F2A2E"/>
                            <w:sz w:val="17"/>
                            <w:szCs w:val="17"/>
                          </w:rPr>
                          <w:t xml:space="preserve">#</w:t>
                        </w:r>
                      </w:p>
                    </w:tc>
                    <w:tc>
                      <w:tcPr>
                        <w:tcW w:type="dxa" w:w="1588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  <w:vAlign w:val="center"/>
                      </w:tcPr>
                      <w:p>
                        <w:pPr>
                          <w:spacing w:after="40" w:before="0" w:line="276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color w:val="1F2A2E"/>
                            <w:sz w:val="17"/>
                            <w:szCs w:val="17"/>
                          </w:rPr>
                          <w:t xml:space="preserve">A</w:t>
                        </w:r>
                      </w:p>
                    </w:tc>
                    <w:tc>
                      <w:tcPr>
                        <w:tcW w:type="dxa" w:w="1814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  <w:vAlign w:val="center"/>
                      </w:tcPr>
                      <w:p>
                        <w:pPr>
                          <w:spacing w:after="40" w:before="0" w:line="276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color w:val="1F2A2E"/>
                            <w:sz w:val="17"/>
                            <w:szCs w:val="17"/>
                          </w:rPr>
                          <w:t xml:space="preserve">c</w:t>
                        </w:r>
                      </w:p>
                    </w:tc>
                  </w:tr>
                  <w:tr>
                    <w:trPr>
                      <w:cantSplit/>
                      <w:tblHeader w:val="false"/>
                    </w:trPr>
                    <w:tc>
                      <w:tcPr>
                        <w:tcW w:type="dxa" w:w="1021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  <w:vAlign w:val="center"/>
                      </w:tcPr>
                      <w:p>
                        <w:pPr>
                          <w:spacing w:after="40" w:before="0" w:line="276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color w:val="1F2A2E"/>
                            <w:sz w:val="17"/>
                            <w:szCs w:val="17"/>
                          </w:rPr>
                          <w:t xml:space="preserve">S3</w:t>
                        </w:r>
                      </w:p>
                    </w:tc>
                    <w:tc>
                      <w:tcPr>
                        <w:tcW w:type="dxa" w:w="1701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  <w:vAlign w:val="center"/>
                      </w:tcPr>
                      <w:p>
                        <w:pPr>
                          <w:spacing w:after="40" w:before="0" w:line="276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color w:val="1F2A2E"/>
                            <w:sz w:val="17"/>
                            <w:szCs w:val="17"/>
                          </w:rPr>
                          <w:t xml:space="preserve">#</w:t>
                        </w:r>
                      </w:p>
                    </w:tc>
                    <w:tc>
                      <w:tcPr>
                        <w:tcW w:type="dxa" w:w="1588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  <w:vAlign w:val="center"/>
                      </w:tcPr>
                      <w:p>
                        <w:pPr>
                          <w:spacing w:after="40" w:before="0" w:line="276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color w:val="1F2A2E"/>
                            <w:sz w:val="17"/>
                            <w:szCs w:val="17"/>
                          </w:rPr>
                          <w:t xml:space="preserve">#</w:t>
                        </w:r>
                      </w:p>
                    </w:tc>
                    <w:tc>
                      <w:tcPr>
                        <w:tcW w:type="dxa" w:w="1814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  <w:vAlign w:val="center"/>
                      </w:tcPr>
                      <w:p>
                        <w:pPr>
                          <w:spacing w:after="40" w:before="0" w:line="276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color w:val="1F2A2E"/>
                            <w:sz w:val="17"/>
                            <w:szCs w:val="17"/>
                          </w:rPr>
                          <w:t xml:space="preserve">ε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317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80"/>
                    <w:bottom w:type="dxa" w:w="0"/>
                    <w:right w:type="dxa" w:w="0"/>
                  </w:tcMar>
                </w:tcPr>
                <w:p>
                  <w:pPr>
                    <w:spacing w:after="10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a) Tabelle links (je korrekter Abschnitt 1 BE, Akzeptanz 1 BE). Nach aafcc ist der Automat im Endzustand S3 –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19"/>
                      <w:szCs w:val="19"/>
                    </w:rPr>
                    <w:t xml:space="preserve">Eingabe wird akzeptiert: ja.</w:t>
                  </w:r>
                </w:p>
                <w:p>
                  <w:pPr>
                    <w:spacing w:after="10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b) Jedes A im Keller steht für eine aufgenommene, aber noch nicht abgegebene Kiste (1 BE). Bei c wird ein A entfernt; nur wenn am Ende wieder # oben liegt – alle Kisten abgegeben –, ist der Übergang in den Endzustand S3 möglich (1 BE).</w:t>
                  </w:r>
                </w:p>
              </w:tc>
            </w:tr>
          </w:tbl>
          <w:p/>
        </w:tc>
      </w:tr>
    </w:tbl>
    <w:p>
      <w:pPr>
        <w:spacing w:after="140" w:before="0"/>
      </w:pPr>
    </w:p>
    <w:sectPr>
      <w:headerReference w:type="default" r:id="rId7"/>
      <w:footerReference w:type="default" r:id="rId8"/>
      <w:pgSz w:w="11906" w:h="16838" w:orient="portrait"/>
      <w:pgMar w:top="900" w:right="1020" w:bottom="900" w:left="1020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Max-Planck-Gymnasium Delmenhorst  ·  DS14 · Arbeitsblatt</w:t>
    </w:r>
    <w:r>
      <w:rPr>
        <w:rFonts w:ascii="Calibri" w:cs="Calibri" w:eastAsia="Calibri" w:hAnsi="Calibri"/>
        <w:color w:val="5B6770"/>
        <w:sz w:val="16"/>
        <w:szCs w:val="16"/>
      </w:rPr>
      <w:t xml:space="preserve">	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Maschinen, die Sprache verstehen</w:t>
    </w:r>
    <w:r>
      <w:rPr>
        <w:rFonts w:ascii="Calibri" w:cs="Calibri" w:eastAsia="Calibri" w:hAnsi="Calibri"/>
        <w:color w:val="5B6770"/>
        <w:sz w:val="16"/>
        <w:szCs w:val="16"/>
      </w:rPr>
      <w:t xml:space="preserve">	Informatik LK · Automaten &amp; formale Sprachen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0E6455"/>
      </w:rPr>
    </w:lvl>
    <w:lvl w:ilvl="1" w15:tentative="1">
      <w:start w:val="1"/>
      <w:numFmt w:val="bullet"/>
      <w:lvlText w:val="–"/>
      <w:lvlJc w:val="left"/>
      <w:pPr>
        <w:ind w:left="800" w:hanging="260"/>
      </w:pPr>
      <w:rPr>
        <w:color w:val="5B677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7a62cb2cec11236c3dd734c2928aac6fca21903.png"/><Relationship Id="rId10" Type="http://schemas.openxmlformats.org/officeDocument/2006/relationships/image" Target="media/aa55d13491912bbee4e3c718d35fcf7a1570518b.png"/><Relationship Id="rId11" Type="http://schemas.openxmlformats.org/officeDocument/2006/relationships/image" Target="media/9fc70aead62ca9c8bf4fb40f0716a109904be74e.png"/><Relationship Id="rId12" Type="http://schemas.openxmlformats.org/officeDocument/2006/relationships/image" Target="media/8342bfa8220481524f5d41cc98c48eedb37d49a7.png"/><Relationship Id="rId13" Type="http://schemas.openxmlformats.org/officeDocument/2006/relationships/image" Target="media/d1b2322cc270ebe2328a64a7dad792c1e1ff640b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Die Landkarte der Sprachen</dc:title>
  <dc:creator>Frank Juchim</dc:creator>
  <dc:description>Informatik LK – Automaten und formale Sprachen</dc:description>
  <cp:lastModifiedBy>Un-named</cp:lastModifiedBy>
  <cp:revision>1</cp:revision>
  <dcterms:created xsi:type="dcterms:W3CDTF">2026-10-03T21:40:59.399Z</dcterms:created>
  <dcterms:modified xsi:type="dcterms:W3CDTF">2026-10-03T21:40:59.399Z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