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Lehrkraft-Handreichung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Abi-Training  ·  Welt A–C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34"/>
                <w:szCs w:val="34"/>
              </w:rPr>
              <w:t xml:space="preserve">Erwartungshorizont „Smart-Home-Befehle“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Automaten und formale Sprachen · erhöhtes Anforderungsniveau · Block 2 · 135 Minuten · 45 BE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Informatik LK (eA)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Erwartete Leistungen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680"/>
        <w:gridCol w:w="7598"/>
        <w:gridCol w:w="567"/>
        <w:gridCol w:w="1021"/>
      </w:tblGrid>
      <w:tr>
        <w:trPr>
          <w:cantSplit w:val="false"/>
          <w:tblHeader/>
        </w:trPr>
        <w:tc>
          <w:tcPr>
            <w:tcW w:type="dxa" w:w="68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Teil</w:t>
            </w:r>
          </w:p>
        </w:tc>
        <w:tc>
          <w:tcPr>
            <w:tcW w:type="dxa" w:w="759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Erwartete Leistung</w:t>
            </w:r>
          </w:p>
        </w:tc>
        <w:tc>
          <w:tcPr>
            <w:tcW w:type="dxa" w:w="56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</w:t>
            </w:r>
          </w:p>
        </w:tc>
        <w:tc>
          <w:tcPr>
            <w:tcW w:type="dxa" w:w="102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AFB</w:t>
            </w:r>
          </w:p>
        </w:tc>
      </w:tr>
      <w:tr>
        <w:trPr>
          <w:cantSplit w:val="false"/>
          <w:tblHeader w:val="false"/>
        </w:trPr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a</w:t>
            </w: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onsolas" w:cs="Consolas" w:eastAsia="Consolas" w:hAnsi="Consolas"/>
                <w:color w:val="0A4A3F"/>
                <w:sz w:val="18"/>
                <w:szCs w:val="18"/>
              </w:rPr>
              <w:t xml:space="preserve">L+R--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: S0 –L→ S1 –+→ S3 –R→ S1 –-→ S3 –-→ S3 ⇒ akzeptiert (S3 ist Endzustand). (1 BE)</w:t>
            </w:r>
          </w:p>
          <w:p>
            <w:pPr>
              <w:spacing w:after="100" w:before="0" w:line="276"/>
              <w:jc w:val="left"/>
            </w:pPr>
            <w:r>
              <w:rPr>
                <w:rFonts w:ascii="Consolas" w:cs="Consolas" w:eastAsia="Consolas" w:hAnsi="Consolas"/>
                <w:color w:val="0A4A3F"/>
                <w:sz w:val="18"/>
                <w:szCs w:val="18"/>
              </w:rPr>
              <w:t xml:space="preserve">H+L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: S0 –H→ S2 –+→ S4 –L→ S1 ⇒ abgelehnt (S1 ist kein Endzustand; die Befehlskette endet mit einer Gerätekennung ohne Aktionszeichen). (1 BE)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Zwei akzeptierte Befehlsketten der Länge 4, z. B. </w:t>
            </w:r>
            <w:r>
              <w:rPr>
                <w:rFonts w:ascii="Consolas" w:cs="Consolas" w:eastAsia="Consolas" w:hAnsi="Consolas"/>
                <w:color w:val="0A4A3F"/>
                <w:sz w:val="18"/>
                <w:szCs w:val="18"/>
              </w:rPr>
              <w:t xml:space="preserve">L+R-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A4A3F"/>
                <w:sz w:val="18"/>
                <w:szCs w:val="18"/>
              </w:rPr>
              <w:t xml:space="preserve">H+++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A4A3F"/>
                <w:sz w:val="18"/>
                <w:szCs w:val="18"/>
              </w:rPr>
              <w:t xml:space="preserve">R---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A4A3F"/>
                <w:sz w:val="18"/>
                <w:szCs w:val="18"/>
              </w:rPr>
              <w:t xml:space="preserve">L-H+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(je 1 BE).</w:t>
            </w:r>
          </w:p>
        </w:tc>
        <w:tc>
          <w:tcPr>
            <w:tcW w:type="dxa" w:w="567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4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I</w:t>
            </w:r>
          </w:p>
        </w:tc>
      </w:tr>
      <w:tr>
        <w:trPr>
          <w:cantSplit w:val="false"/>
          <w:tblHeader w:val="false"/>
        </w:trPr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</w:t>
            </w: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S1: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Es wurde zuletzt die Gerätekennung L oder R gelesen; der Befehl ist noch unvollständig, es fehlt mindestens ein Aktionszeichen. (1,5 BE)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S3: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Ein vollständiger Befehl für Licht oder Rollladen wurde gelesen (Gerät + mindestens ein Aktionszeichen); die Befehlskette ist gültig und kann mit weiteren Aktionszeichen oder einem neuen Befehl fortgesetzt werden. (1,5 BE)</w:t>
            </w:r>
          </w:p>
        </w:tc>
        <w:tc>
          <w:tcPr>
            <w:tcW w:type="dxa" w:w="567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3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II</w:t>
            </w:r>
          </w:p>
        </w:tc>
      </w:tr>
      <w:tr>
        <w:trPr>
          <w:cantSplit w:val="false"/>
          <w:tblHeader w:val="false"/>
        </w:trPr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c</w:t>
            </w: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 und S2 sind äquivalent: Beide sind keine Endzustände, beide wechseln mit + und - in einen Endzustand (S3 bzw. S4) und mit L, H, R in den Fehlerzustand; S3 und S4 sind ihrerseits äquivalent: beide Endzustände, Schleifen mit + und -, mit L und R nach S1, mit H nach S2 (äquivalent zu S1). S0 ist von allen anderen unterscheidbar (z. B. durch das Wort +: aus S1/S2 akzeptiert, aus S0 nicht; S3/S4 sind Endzustände). Ergebnis: drei Zustände genügen. (Begründung der Äquivalenz 2 BE, Unterscheidbarkeit von S0 1 BE, minimaler Automat 1 BE)</w:t>
            </w:r>
          </w:p>
          <w:p>
            <w:pPr>
              <w:keepNext/>
              <w:spacing w:after="20" w:before="60"/>
              <w:jc w:val="center"/>
            </w:pPr>
            <w:r>
              <w:drawing>
                <wp:inline distT="0" distB="0" distL="0" distR="0">
                  <wp:extent cx="3238500" cy="800100"/>
                  <wp:effectExtent t="0" r="0" b="0" l="0"/>
                  <wp:docPr id="1" name="klausur_Amin.png" descr="Minimaler Automat (alle nicht eingezeichneten Übergänge führen in einen Fehlerzustand)" title="Minimaler Automat (alle nicht eingezeichneten Übergänge führen in einen Fehlerzustan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8"/>
                <w:szCs w:val="18"/>
              </w:rPr>
              <w:t xml:space="preserve">Minimaler Automat (alle nicht eingezeichneten Übergänge führen in einen Fehlerzustand)</w:t>
            </w:r>
          </w:p>
        </w:tc>
        <w:tc>
          <w:tcPr>
            <w:tcW w:type="dxa" w:w="567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4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II</w:t>
            </w:r>
          </w:p>
        </w:tc>
      </w:tr>
      <w:tr>
        <w:trPr>
          <w:cantSplit w:val="false"/>
          <w:tblHeader w:val="false"/>
        </w:trPr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d</w:t>
            </w: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Der Automat muss sich zusätzlich merken, ob H bereits vorgekommen ist. Zustände: S0 Start; S1 Gerät L/R gelesen (H noch nicht benutzt); S2 vollständiger Befehl, H noch nicht benutzt (Endzustand); S3 Gerät gelesen, H benutzt; S4 vollständiger Befehl, H benutzt (Endzustand). Aus S4 führt H in den Fehlerzustand. (Zustandsidee 2 BE, Übergänge 2 BE, Start-/Endzustände und Fehlerzustand-Hinweis 1 BE)</w:t>
            </w:r>
          </w:p>
          <w:p>
            <w:pPr>
              <w:keepNext/>
              <w:spacing w:after="20" w:before="60"/>
              <w:jc w:val="center"/>
            </w:pPr>
            <w:r>
              <w:drawing>
                <wp:inline distT="0" distB="0" distL="0" distR="0">
                  <wp:extent cx="3962400" cy="2695575"/>
                  <wp:effectExtent t="0" r="0" b="0" l="0"/>
                  <wp:docPr id="1" name="klausur_AH.png" descr="Alle nicht eingezeichneten Übergänge führen in einen Fehlerzustand." title="Alle nicht eingezeichneten Übergänge führen in einen Fehlerzustand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2400" cy="269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8"/>
                <w:szCs w:val="18"/>
              </w:rPr>
              <w:t xml:space="preserve">Alle nicht eingezeichneten Übergänge führen in einen Fehlerzustand.</w:t>
            </w:r>
          </w:p>
        </w:tc>
        <w:tc>
          <w:tcPr>
            <w:tcW w:type="dxa" w:w="567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5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III</w:t>
            </w:r>
          </w:p>
        </w:tc>
      </w:tr>
      <w:tr>
        <w:trPr>
          <w:cantSplit w:val="false"/>
          <w:tblHeader w:val="false"/>
        </w:trPr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e</w:t>
            </w: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Ausgabe für </w:t>
            </w:r>
            <w:r>
              <w:rPr>
                <w:rFonts w:ascii="Consolas" w:cs="Consolas" w:eastAsia="Consolas" w:hAnsi="Consolas"/>
                <w:color w:val="0A4A3F"/>
                <w:sz w:val="18"/>
                <w:szCs w:val="18"/>
              </w:rPr>
              <w:t xml:space="preserve">--+---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: P3 –-/2→ P2 –-/1→ P1 –+/2→ P2 –-/1→ P1 –-/0→ P0 –-/!→ P0, also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21210!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. (2 BE)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P1: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Der Rollladen steht in Position 1 (eine Stufe über ganz unten).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Ausgabe !: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Der Befehl kann nicht ausgeführt werden, weil der Rollladen bereits am Anschlag steht (ganz oben bei +, ganz unten bei -); die Position bleibt unverändert. (2 BE)</w:t>
            </w:r>
          </w:p>
        </w:tc>
        <w:tc>
          <w:tcPr>
            <w:tcW w:type="dxa" w:w="567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4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I–II</w:t>
            </w:r>
          </w:p>
        </w:tc>
      </w:tr>
      <w:tr>
        <w:trPr>
          <w:cantSplit w:val="false"/>
          <w:tblHeader w:val="false"/>
        </w:trPr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f</w:t>
            </w: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Zustand = zuletzt genannte Gerätekennung: M0 (noch kein Gerät), ML, MH, MR. Gerätekennungen wechseln den Zustand mit Ausgabe ε; Aktionszeichen bleiben im Zustand und geben das gerätespezifische Signal aus; in M0 werden Aktionszeichen ignoriert (Ausgabe ε). Σ = {L, H, R, +, -}, Ω = {e, a, w, k, o, u}, keine Endzustände. (Zustandsidee 1 BE, Übergänge mit Ausgaben 2 BE, Vollständigkeit inkl. M0 1 BE)</w:t>
            </w:r>
          </w:p>
          <w:tbl>
            <w:tblPr>
              <w:tblW w:type="dxa" w:w="6804"/>
              <w:jc w:val="center"/>
              <w:tblBorders>
                <w:top w:val="single" w:color="C9D3D6" w:sz="4"/>
                <w:left w:val="single" w:color="C9D3D6" w:sz="4"/>
                <w:bottom w:val="single" w:color="C9D3D6" w:sz="4"/>
                <w:right w:val="single" w:color="C9D3D6" w:sz="4"/>
                <w:insideH w:val="single" w:color="C9D3D6" w:sz="4"/>
                <w:insideV w:val="single" w:color="C9D3D6" w:sz="4"/>
              </w:tblBorders>
              <w:tblLayout w:type="fixed"/>
            </w:tblPr>
            <w:tblGrid>
              <w:gridCol w:w="1134"/>
              <w:gridCol w:w="1134"/>
              <w:gridCol w:w="1134"/>
              <w:gridCol w:w="1134"/>
              <w:gridCol w:w="1134"/>
              <w:gridCol w:w="1134"/>
            </w:tblGrid>
            <w:tr>
              <w:trPr>
                <w:cantSplit/>
                <w:tblHeader/>
              </w:trPr>
              <w:tc>
                <w:tcPr>
                  <w:tcW w:type="dxa" w:w="1134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Zustand</w:t>
                  </w:r>
                </w:p>
              </w:tc>
              <w:tc>
                <w:tcPr>
                  <w:tcW w:type="dxa" w:w="1134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L</w:t>
                  </w:r>
                </w:p>
              </w:tc>
              <w:tc>
                <w:tcPr>
                  <w:tcW w:type="dxa" w:w="1134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H</w:t>
                  </w:r>
                </w:p>
              </w:tc>
              <w:tc>
                <w:tcPr>
                  <w:tcW w:type="dxa" w:w="1134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R</w:t>
                  </w:r>
                </w:p>
              </w:tc>
              <w:tc>
                <w:tcPr>
                  <w:tcW w:type="dxa" w:w="1134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+</w:t>
                  </w:r>
                </w:p>
              </w:tc>
              <w:tc>
                <w:tcPr>
                  <w:tcW w:type="dxa" w:w="1134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-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13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M0</w:t>
                  </w:r>
                </w:p>
              </w:tc>
              <w:tc>
                <w:tcPr>
                  <w:tcW w:type="dxa" w:w="113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ML / ε</w:t>
                  </w:r>
                </w:p>
              </w:tc>
              <w:tc>
                <w:tcPr>
                  <w:tcW w:type="dxa" w:w="113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MH / ε</w:t>
                  </w:r>
                </w:p>
              </w:tc>
              <w:tc>
                <w:tcPr>
                  <w:tcW w:type="dxa" w:w="113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MR / ε</w:t>
                  </w:r>
                </w:p>
              </w:tc>
              <w:tc>
                <w:tcPr>
                  <w:tcW w:type="dxa" w:w="113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M0 / ε</w:t>
                  </w:r>
                </w:p>
              </w:tc>
              <w:tc>
                <w:tcPr>
                  <w:tcW w:type="dxa" w:w="113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M0 / ε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13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ML</w:t>
                  </w:r>
                </w:p>
              </w:tc>
              <w:tc>
                <w:tcPr>
                  <w:tcW w:type="dxa" w:w="113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ML / ε</w:t>
                  </w:r>
                </w:p>
              </w:tc>
              <w:tc>
                <w:tcPr>
                  <w:tcW w:type="dxa" w:w="113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MH / ε</w:t>
                  </w:r>
                </w:p>
              </w:tc>
              <w:tc>
                <w:tcPr>
                  <w:tcW w:type="dxa" w:w="113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MR / ε</w:t>
                  </w:r>
                </w:p>
              </w:tc>
              <w:tc>
                <w:tcPr>
                  <w:tcW w:type="dxa" w:w="113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ML / e</w:t>
                  </w:r>
                </w:p>
              </w:tc>
              <w:tc>
                <w:tcPr>
                  <w:tcW w:type="dxa" w:w="113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ML / a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13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MH</w:t>
                  </w:r>
                </w:p>
              </w:tc>
              <w:tc>
                <w:tcPr>
                  <w:tcW w:type="dxa" w:w="113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ML / ε</w:t>
                  </w:r>
                </w:p>
              </w:tc>
              <w:tc>
                <w:tcPr>
                  <w:tcW w:type="dxa" w:w="113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MH / ε</w:t>
                  </w:r>
                </w:p>
              </w:tc>
              <w:tc>
                <w:tcPr>
                  <w:tcW w:type="dxa" w:w="113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MR / ε</w:t>
                  </w:r>
                </w:p>
              </w:tc>
              <w:tc>
                <w:tcPr>
                  <w:tcW w:type="dxa" w:w="113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MH / w</w:t>
                  </w:r>
                </w:p>
              </w:tc>
              <w:tc>
                <w:tcPr>
                  <w:tcW w:type="dxa" w:w="113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MH / k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13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MR</w:t>
                  </w:r>
                </w:p>
              </w:tc>
              <w:tc>
                <w:tcPr>
                  <w:tcW w:type="dxa" w:w="113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ML / ε</w:t>
                  </w:r>
                </w:p>
              </w:tc>
              <w:tc>
                <w:tcPr>
                  <w:tcW w:type="dxa" w:w="113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MH / ε</w:t>
                  </w:r>
                </w:p>
              </w:tc>
              <w:tc>
                <w:tcPr>
                  <w:tcW w:type="dxa" w:w="113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MR / ε</w:t>
                  </w:r>
                </w:p>
              </w:tc>
              <w:tc>
                <w:tcPr>
                  <w:tcW w:type="dxa" w:w="113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MR / o</w:t>
                  </w:r>
                </w:p>
              </w:tc>
              <w:tc>
                <w:tcPr>
                  <w:tcW w:type="dxa" w:w="113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MR / u</w:t>
                  </w:r>
                </w:p>
              </w:tc>
            </w:tr>
          </w:tbl>
          <w:p>
            <w:pPr>
              <w:spacing w:after="140" w:before="0"/>
            </w:pPr>
          </w:p>
          <w:p>
            <w:pPr>
              <w:keepNext/>
              <w:spacing w:after="20" w:before="60"/>
              <w:jc w:val="center"/>
            </w:pPr>
            <w:r>
              <w:drawing>
                <wp:inline distT="0" distB="0" distL="0" distR="0">
                  <wp:extent cx="3419475" cy="2990850"/>
                  <wp:effectExtent t="0" r="0" b="0" l="0"/>
                  <wp:docPr id="1" name="klausur_MS.png" descr="Zustandsgraph (gleichwertig zur Tabelle; keine Endzustände)" title="Zustandsgraph (gleichwertig zur Tabelle; keine Endzuständ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9475" cy="299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8"/>
                <w:szCs w:val="18"/>
              </w:rPr>
              <w:t xml:space="preserve">Zustandsgraph (gleichwertig zur Tabelle; keine Endzustände)</w:t>
            </w:r>
          </w:p>
        </w:tc>
        <w:tc>
          <w:tcPr>
            <w:tcW w:type="dxa" w:w="567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4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II</w:t>
            </w:r>
          </w:p>
        </w:tc>
      </w:tr>
      <w:tr>
        <w:trPr>
          <w:cantSplit w:val="false"/>
          <w:tblHeader w:val="false"/>
        </w:trPr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g</w:t>
            </w: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Jedes Kellerzeichen K steht für eine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geöffnete, noch nicht geschlossene Gruppe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(eine offene Klammer). Die Kellerhöhe ist die aktuelle Verschachtelungstiefe. Mit „(“ wird ein K abgelegt, mit „)“ eines entfernt; liegt beim Lesen von „)“ kein K oben, fehlt eine öffnende Klammer. Nur wenn am Ende ausschließlich # im Keller liegt (alle Gruppen geschlossen), ist der Übergang nach S2 möglich. (3 BE)</w:t>
            </w:r>
          </w:p>
        </w:tc>
        <w:tc>
          <w:tcPr>
            <w:tcW w:type="dxa" w:w="567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3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II</w:t>
            </w:r>
          </w:p>
        </w:tc>
      </w:tr>
      <w:tr>
        <w:trPr>
          <w:cantSplit w:val="false"/>
          <w:tblHeader w:val="false"/>
        </w:trPr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h</w:t>
            </w: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tbl>
            <w:tblPr>
              <w:tblW w:type="dxa" w:w="6918"/>
              <w:tblBorders>
                <w:top w:val="single" w:color="C9D3D6" w:sz="4"/>
                <w:left w:val="single" w:color="C9D3D6" w:sz="4"/>
                <w:bottom w:val="single" w:color="C9D3D6" w:sz="4"/>
                <w:right w:val="single" w:color="C9D3D6" w:sz="4"/>
                <w:insideH w:val="single" w:color="C9D3D6" w:sz="4"/>
                <w:insideV w:val="single" w:color="C9D3D6" w:sz="4"/>
              </w:tblBorders>
              <w:tblLayout w:type="fixed"/>
            </w:tblPr>
            <w:tblGrid>
              <w:gridCol w:w="1021"/>
              <w:gridCol w:w="1928"/>
              <w:gridCol w:w="1814"/>
              <w:gridCol w:w="2155"/>
            </w:tblGrid>
            <w:tr>
              <w:trPr>
                <w:cantSplit/>
                <w:tblHeader/>
              </w:trPr>
              <w:tc>
                <w:tcPr>
                  <w:tcW w:type="dxa" w:w="1021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Zustand</w:t>
                  </w:r>
                </w:p>
              </w:tc>
              <w:tc>
                <w:tcPr>
                  <w:tcW w:type="dxa" w:w="1928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Belegung Kellerspeicher</w:t>
                  </w:r>
                </w:p>
              </w:tc>
              <w:tc>
                <w:tcPr>
                  <w:tcW w:type="dxa" w:w="1814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oberstes Kellersymbol</w:t>
                  </w:r>
                </w:p>
              </w:tc>
              <w:tc>
                <w:tcPr>
                  <w:tcW w:type="dxa" w:w="2155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verarbeitetes Eingabezeichen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02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S0</w:t>
                  </w:r>
                </w:p>
              </w:tc>
              <w:tc>
                <w:tcPr>
                  <w:tcW w:type="dxa" w:w="1928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#</w:t>
                  </w:r>
                </w:p>
              </w:tc>
              <w:tc>
                <w:tcPr>
                  <w:tcW w:type="dxa" w:w="181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–</w:t>
                  </w:r>
                </w:p>
              </w:tc>
              <w:tc>
                <w:tcPr>
                  <w:tcW w:type="dxa" w:w="2155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–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02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S1</w:t>
                  </w:r>
                </w:p>
              </w:tc>
              <w:tc>
                <w:tcPr>
                  <w:tcW w:type="dxa" w:w="1928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#</w:t>
                  </w:r>
                </w:p>
              </w:tc>
              <w:tc>
                <w:tcPr>
                  <w:tcW w:type="dxa" w:w="181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#</w:t>
                  </w:r>
                </w:p>
              </w:tc>
              <w:tc>
                <w:tcPr>
                  <w:tcW w:type="dxa" w:w="2155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B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02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S0</w:t>
                  </w:r>
                </w:p>
              </w:tc>
              <w:tc>
                <w:tcPr>
                  <w:tcW w:type="dxa" w:w="1928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K#</w:t>
                  </w:r>
                </w:p>
              </w:tc>
              <w:tc>
                <w:tcPr>
                  <w:tcW w:type="dxa" w:w="181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#</w:t>
                  </w:r>
                </w:p>
              </w:tc>
              <w:tc>
                <w:tcPr>
                  <w:tcW w:type="dxa" w:w="2155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(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02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S0</w:t>
                  </w:r>
                </w:p>
              </w:tc>
              <w:tc>
                <w:tcPr>
                  <w:tcW w:type="dxa" w:w="1928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KK#</w:t>
                  </w:r>
                </w:p>
              </w:tc>
              <w:tc>
                <w:tcPr>
                  <w:tcW w:type="dxa" w:w="181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K</w:t>
                  </w:r>
                </w:p>
              </w:tc>
              <w:tc>
                <w:tcPr>
                  <w:tcW w:type="dxa" w:w="2155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(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02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S1</w:t>
                  </w:r>
                </w:p>
              </w:tc>
              <w:tc>
                <w:tcPr>
                  <w:tcW w:type="dxa" w:w="1928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KK#</w:t>
                  </w:r>
                </w:p>
              </w:tc>
              <w:tc>
                <w:tcPr>
                  <w:tcW w:type="dxa" w:w="181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K</w:t>
                  </w:r>
                </w:p>
              </w:tc>
              <w:tc>
                <w:tcPr>
                  <w:tcW w:type="dxa" w:w="2155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B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02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S1</w:t>
                  </w:r>
                </w:p>
              </w:tc>
              <w:tc>
                <w:tcPr>
                  <w:tcW w:type="dxa" w:w="1928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K#</w:t>
                  </w:r>
                </w:p>
              </w:tc>
              <w:tc>
                <w:tcPr>
                  <w:tcW w:type="dxa" w:w="181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K</w:t>
                  </w:r>
                </w:p>
              </w:tc>
              <w:tc>
                <w:tcPr>
                  <w:tcW w:type="dxa" w:w="2155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)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02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S1</w:t>
                  </w:r>
                </w:p>
              </w:tc>
              <w:tc>
                <w:tcPr>
                  <w:tcW w:type="dxa" w:w="1928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K#</w:t>
                  </w:r>
                </w:p>
              </w:tc>
              <w:tc>
                <w:tcPr>
                  <w:tcW w:type="dxa" w:w="181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K</w:t>
                  </w:r>
                </w:p>
              </w:tc>
              <w:tc>
                <w:tcPr>
                  <w:tcW w:type="dxa" w:w="2155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B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02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S1</w:t>
                  </w:r>
                </w:p>
              </w:tc>
              <w:tc>
                <w:tcPr>
                  <w:tcW w:type="dxa" w:w="1928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#</w:t>
                  </w:r>
                </w:p>
              </w:tc>
              <w:tc>
                <w:tcPr>
                  <w:tcW w:type="dxa" w:w="181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K</w:t>
                  </w:r>
                </w:p>
              </w:tc>
              <w:tc>
                <w:tcPr>
                  <w:tcW w:type="dxa" w:w="2155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)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02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S2</w:t>
                  </w:r>
                </w:p>
              </w:tc>
              <w:tc>
                <w:tcPr>
                  <w:tcW w:type="dxa" w:w="1928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#</w:t>
                  </w:r>
                </w:p>
              </w:tc>
              <w:tc>
                <w:tcPr>
                  <w:tcW w:type="dxa" w:w="181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#</w:t>
                  </w:r>
                </w:p>
              </w:tc>
              <w:tc>
                <w:tcPr>
                  <w:tcW w:type="dxa" w:w="2155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7"/>
                      <w:szCs w:val="17"/>
                    </w:rPr>
                    <w:t xml:space="preserve">ε</w:t>
                  </w:r>
                </w:p>
              </w:tc>
            </w:tr>
          </w:tbl>
          <w:p>
            <w:pPr>
              <w:spacing w:after="140" w:before="0"/>
            </w:pP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Eingabe wird akzeptiert: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ja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(S2 ist Endzustand, Eingabe vollständig gelesen). (Zeilen 3 BE, Abschluss mit ε-Übergang und Entscheidung 1 BE)</w:t>
            </w:r>
          </w:p>
        </w:tc>
        <w:tc>
          <w:tcPr>
            <w:tcW w:type="dxa" w:w="567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4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I</w:t>
            </w:r>
          </w:p>
        </w:tc>
      </w:tr>
      <w:tr>
        <w:trPr>
          <w:cantSplit w:val="false"/>
          <w:tblHeader w:val="false"/>
        </w:trPr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i</w:t>
            </w: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Annahme: Es gibt einen endlichen Automaten mit k Zuständen, der genau die Szenen akzeptiert. Betrachtet werden die k + 1 Eingaben (, ((, …, (ᵏ⁺¹. Nach dem Schubfachprinzip führen zwei davon, (ⁱ und (ʲ mit i ≠ j, in denselben Zustand. Dann behandelt der Automat die Fortsetzung B)ⁱ in beiden Fällen gleich: (ⁱB)ⁱ ist eine Szene und wird akzeptiert, also wird auch (ʲB)ⁱ akzeptiert – das ist aber keine Szene (Klammern nicht ausgeglichen). Widerspruch; ein endlicher Automat kann die unbeschränkte Verschachtelungstiefe nicht zählen. (Annahme und Schubfachargument 2 BE, Fortsetzung und Widerspruch 2 BE)</w:t>
            </w:r>
          </w:p>
        </w:tc>
        <w:tc>
          <w:tcPr>
            <w:tcW w:type="dxa" w:w="567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4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III</w:t>
            </w:r>
          </w:p>
        </w:tc>
      </w:tr>
      <w:tr>
        <w:trPr>
          <w:cantSplit w:val="false"/>
          <w:tblHeader w:val="false"/>
        </w:trPr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j</w:t>
            </w: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Aus dem minimalen Automaten (Teil c): Zustand ↔ Nichtterminal. N = {S, A, B}, T = {L, H, R, +, -}, Startsymbol S,</w:t>
            </w:r>
          </w:p>
          <w:p>
            <w:pPr>
              <w:spacing w:after="100" w:before="0" w:line="276"/>
              <w:ind w:left="300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S → LA | HA | RA      A → +B | -B      B → +B | -B | LA | HA | RA | ε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(oder gleichwertig). Alle Regeln haben die Form X → aY, X → a oder X → ε. Prüfung: S ⇒ LA ⇒ L+B ⇒ L+RA ⇒ L+R-B ⇒ L+R--B ⇒ L+R--. (N, T, S 1 BE, Regeln 2 BE, rechtsreguläre Form 1 BE)</w:t>
            </w:r>
          </w:p>
        </w:tc>
        <w:tc>
          <w:tcPr>
            <w:tcW w:type="dxa" w:w="567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4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II</w:t>
            </w:r>
          </w:p>
        </w:tc>
      </w:tr>
      <w:tr>
        <w:trPr>
          <w:cantSplit w:val="false"/>
          <w:tblHeader w:val="false"/>
        </w:trPr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k</w:t>
            </w: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 ⇒ BS ⇒ B(S) ⇒ B((S)S) ⇒ B((B)S) ⇒ B((B)B)   (Regeln: S → BS, S → (S), S → (S)S, S → B, S → B)</w:t>
            </w:r>
          </w:p>
        </w:tc>
        <w:tc>
          <w:tcPr>
            <w:tcW w:type="dxa" w:w="567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2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I</w:t>
            </w:r>
          </w:p>
        </w:tc>
      </w:tr>
      <w:tr>
        <w:trPr>
          <w:cantSplit w:val="false"/>
          <w:tblHeader w:val="false"/>
        </w:trPr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l</w:t>
            </w: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Eine reguläre (rechtsreguläre) Grammatik erlaubt nur Regeln der Form A → aB, A → a oder A → ε. Die Regeln S → (S)S und S → (S) enthalten das Nichtterminal S zwischen bzw. vor Terminalsymbolen – damit ist G nicht regulär. (Alternativ: zwei Nichtterminale in einer rechten Seite.)</w:t>
            </w:r>
          </w:p>
        </w:tc>
        <w:tc>
          <w:tcPr>
            <w:tcW w:type="dxa" w:w="567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2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I</w:t>
            </w:r>
          </w:p>
        </w:tc>
      </w:tr>
      <w:tr>
        <w:trPr>
          <w:cantSplit w:val="false"/>
          <w:tblHeader w:val="false"/>
        </w:trPr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m</w:t>
            </w: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Eine Gruppe muss nun mindestens zwei Elemente enthalten, z. B. mit einem Nichtterminal E für Elemente:</w:t>
            </w:r>
          </w:p>
          <w:p>
            <w:pPr>
              <w:spacing w:after="100" w:before="0" w:line="276"/>
              <w:ind w:left="300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S → ES | E      E → B | (ES)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(ES) erzwingt mindestens ein Element E und eine weitere Szene S mit mindestens einem Element. Beispiele: (BB), B(B(BB)); nicht mehr erzeugbar: (B). Gleichwertige Lösungen (z. B. S → BS | B | (SS)S | (SS) mit S → … ) sind zulässig, wenn ( ) genau Szenen mit mindestens zwei Elementen umschließt.</w:t>
            </w:r>
          </w:p>
        </w:tc>
        <w:tc>
          <w:tcPr>
            <w:tcW w:type="dxa" w:w="567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2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II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Bewertungstabelle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041"/>
        <w:gridCol w:w="5103"/>
        <w:gridCol w:w="1021"/>
        <w:gridCol w:w="1701"/>
      </w:tblGrid>
      <w:tr>
        <w:trPr>
          <w:cantSplit/>
          <w:tblHeader/>
        </w:trPr>
        <w:tc>
          <w:tcPr>
            <w:tcW w:type="dxa" w:w="204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Anforderungsbereich</w:t>
            </w:r>
          </w:p>
        </w:tc>
        <w:tc>
          <w:tcPr>
            <w:tcW w:type="dxa" w:w="5103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Teilaufgaben</w:t>
            </w:r>
          </w:p>
        </w:tc>
        <w:tc>
          <w:tcPr>
            <w:tcW w:type="dxa" w:w="102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</w:t>
            </w:r>
          </w:p>
        </w:tc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Anteil</w:t>
            </w:r>
          </w:p>
        </w:tc>
      </w:tr>
      <w:tr>
        <w:trPr>
          <w:cantSplit/>
          <w:tblHeader w:val="false"/>
        </w:trPr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AFB I</w:t>
            </w:r>
          </w:p>
        </w:tc>
        <w:tc>
          <w:tcPr>
            <w:tcW w:type="dxa" w:w="510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a (4), e teilweise (2), h (4), k (2), l (2)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14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31 %</w:t>
            </w:r>
          </w:p>
        </w:tc>
      </w:tr>
      <w:tr>
        <w:trPr>
          <w:cantSplit/>
          <w:tblHeader w:val="false"/>
        </w:trPr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AFB II</w:t>
            </w:r>
          </w:p>
        </w:tc>
        <w:tc>
          <w:tcPr>
            <w:tcW w:type="dxa" w:w="510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 (3), c (4), e teilweise (2), f (4), g (3), j (4), m (2)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22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49 %</w:t>
            </w:r>
          </w:p>
        </w:tc>
      </w:tr>
      <w:tr>
        <w:trPr>
          <w:cantSplit/>
          <w:tblHeader w:val="false"/>
        </w:trPr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AFB III</w:t>
            </w:r>
          </w:p>
        </w:tc>
        <w:tc>
          <w:tcPr>
            <w:tcW w:type="dxa" w:w="510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d (5), i (4)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9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20 %</w:t>
            </w:r>
          </w:p>
        </w:tc>
      </w:tr>
      <w:tr>
        <w:trPr>
          <w:cantSplit/>
          <w:tblHeader w:val="false"/>
        </w:trPr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Gesamt</w:t>
            </w:r>
          </w:p>
        </w:tc>
        <w:tc>
          <w:tcPr>
            <w:tcW w:type="dxa" w:w="510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45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100 %</w:t>
            </w:r>
          </w:p>
        </w:tc>
      </w:tr>
    </w:tbl>
    <w:p>
      <w:pPr>
        <w:spacing w:after="140" w:before="0"/>
      </w:pPr>
    </w:p>
    <w:tbl>
      <w:tblPr>
        <w:tblW w:type="dxa" w:w="9858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47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cantSplit/>
          <w:tblHeader/>
        </w:trPr>
        <w:tc>
          <w:tcPr>
            <w:tcW w:type="dxa" w:w="147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Notenpunkte</w:t>
            </w:r>
          </w:p>
        </w:tc>
        <w:tc>
          <w:tcPr>
            <w:tcW w:type="dxa" w:w="5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15</w:t>
            </w:r>
          </w:p>
        </w:tc>
        <w:tc>
          <w:tcPr>
            <w:tcW w:type="dxa" w:w="5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14</w:t>
            </w:r>
          </w:p>
        </w:tc>
        <w:tc>
          <w:tcPr>
            <w:tcW w:type="dxa" w:w="5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13</w:t>
            </w:r>
          </w:p>
        </w:tc>
        <w:tc>
          <w:tcPr>
            <w:tcW w:type="dxa" w:w="5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12</w:t>
            </w:r>
          </w:p>
        </w:tc>
        <w:tc>
          <w:tcPr>
            <w:tcW w:type="dxa" w:w="5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11</w:t>
            </w:r>
          </w:p>
        </w:tc>
        <w:tc>
          <w:tcPr>
            <w:tcW w:type="dxa" w:w="5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10</w:t>
            </w:r>
          </w:p>
        </w:tc>
        <w:tc>
          <w:tcPr>
            <w:tcW w:type="dxa" w:w="5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9</w:t>
            </w:r>
          </w:p>
        </w:tc>
        <w:tc>
          <w:tcPr>
            <w:tcW w:type="dxa" w:w="5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8</w:t>
            </w:r>
          </w:p>
        </w:tc>
        <w:tc>
          <w:tcPr>
            <w:tcW w:type="dxa" w:w="5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7</w:t>
            </w:r>
          </w:p>
        </w:tc>
        <w:tc>
          <w:tcPr>
            <w:tcW w:type="dxa" w:w="5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6</w:t>
            </w:r>
          </w:p>
        </w:tc>
        <w:tc>
          <w:tcPr>
            <w:tcW w:type="dxa" w:w="5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5</w:t>
            </w:r>
          </w:p>
        </w:tc>
        <w:tc>
          <w:tcPr>
            <w:tcW w:type="dxa" w:w="5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4</w:t>
            </w:r>
          </w:p>
        </w:tc>
        <w:tc>
          <w:tcPr>
            <w:tcW w:type="dxa" w:w="5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3</w:t>
            </w:r>
          </w:p>
        </w:tc>
        <w:tc>
          <w:tcPr>
            <w:tcW w:type="dxa" w:w="5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2</w:t>
            </w:r>
          </w:p>
        </w:tc>
        <w:tc>
          <w:tcPr>
            <w:tcW w:type="dxa" w:w="5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1</w:t>
            </w:r>
          </w:p>
        </w:tc>
        <w:tc>
          <w:tcPr>
            <w:tcW w:type="dxa" w:w="5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7"/>
                <w:szCs w:val="17"/>
              </w:rPr>
              <w:t xml:space="preserve">ab BE</w:t>
            </w:r>
          </w:p>
        </w:tc>
        <w:tc>
          <w:tcPr>
            <w:tcW w:type="dxa" w:w="5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43</w:t>
            </w:r>
          </w:p>
        </w:tc>
        <w:tc>
          <w:tcPr>
            <w:tcW w:type="dxa" w:w="5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41</w:t>
            </w:r>
          </w:p>
        </w:tc>
        <w:tc>
          <w:tcPr>
            <w:tcW w:type="dxa" w:w="5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39</w:t>
            </w:r>
          </w:p>
        </w:tc>
        <w:tc>
          <w:tcPr>
            <w:tcW w:type="dxa" w:w="5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36</w:t>
            </w:r>
          </w:p>
        </w:tc>
        <w:tc>
          <w:tcPr>
            <w:tcW w:type="dxa" w:w="5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34</w:t>
            </w:r>
          </w:p>
        </w:tc>
        <w:tc>
          <w:tcPr>
            <w:tcW w:type="dxa" w:w="5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32</w:t>
            </w:r>
          </w:p>
        </w:tc>
        <w:tc>
          <w:tcPr>
            <w:tcW w:type="dxa" w:w="5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30</w:t>
            </w:r>
          </w:p>
        </w:tc>
        <w:tc>
          <w:tcPr>
            <w:tcW w:type="dxa" w:w="5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27</w:t>
            </w:r>
          </w:p>
        </w:tc>
        <w:tc>
          <w:tcPr>
            <w:tcW w:type="dxa" w:w="5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25</w:t>
            </w:r>
          </w:p>
        </w:tc>
        <w:tc>
          <w:tcPr>
            <w:tcW w:type="dxa" w:w="5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23</w:t>
            </w:r>
          </w:p>
        </w:tc>
        <w:tc>
          <w:tcPr>
            <w:tcW w:type="dxa" w:w="5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21</w:t>
            </w:r>
          </w:p>
        </w:tc>
        <w:tc>
          <w:tcPr>
            <w:tcW w:type="dxa" w:w="5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18</w:t>
            </w:r>
          </w:p>
        </w:tc>
        <w:tc>
          <w:tcPr>
            <w:tcW w:type="dxa" w:w="5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15</w:t>
            </w:r>
          </w:p>
        </w:tc>
        <w:tc>
          <w:tcPr>
            <w:tcW w:type="dxa" w:w="5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13</w:t>
            </w:r>
          </w:p>
        </w:tc>
        <w:tc>
          <w:tcPr>
            <w:tcW w:type="dxa" w:w="5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9</w:t>
            </w:r>
          </w:p>
        </w:tc>
        <w:tc>
          <w:tcPr>
            <w:tcW w:type="dxa" w:w="5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0</w:t>
            </w:r>
          </w:p>
        </w:tc>
      </w:tr>
    </w:tbl>
    <w:p>
      <w:pPr>
        <w:spacing w:after="14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5B6770"/>
          <w:sz w:val="18"/>
          <w:szCs w:val="18"/>
        </w:rPr>
        <w:t xml:space="preserve">Zuordnung nach dem Prozentschema der EB-Bewertung (15 NP ab 95 %, 14 ab 90 %, … 5 ab 45 %, 4 ab 40 %, 3 ab 33 %, 2 ab 27 %, 1 ab 20 %), BE aufgerundet.</w:t>
      </w: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Hinweise zur Korrektur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Gleichwertige Lösungen (andere Zustandsnamen, andere Nichtterminale, zusätzliche Zustände mit korrektem Verhalten) werden voll gewertet; fehlender Fehlerzustand-Hinweis bei entwickelten Automaten: 1 BE Abzug je Automat.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Teil c: Die Beobachtung „S1/S2 und S3/S4 verhalten sich gleich“ ohne Begründung über die Folgezustände: höchstens 2 BE.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Teil h: Ein Fehler in der Kellerbelegung, der konsequent weitergeführt wird, kostet nur 1 BE (Folgefehler).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Teil i: Argumentation mit „der Automat müsste unendlich viele Klammern zählen“ ohne Schubfachprinzip: höchstens 2 BE.</w:t>
            </w:r>
          </w:p>
        </w:tc>
      </w:tr>
    </w:tbl>
    <w:p>
      <w:pPr>
        <w:spacing w:after="140" w:before="0"/>
      </w:pP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Übungsklausur · Erwartungshorizont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LK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ed3702b405c8df87d5a59b555fab6ee78214f97.png"/><Relationship Id="rId10" Type="http://schemas.openxmlformats.org/officeDocument/2006/relationships/image" Target="media/e1a831b1a18a550aaf5c1eb778194974847bcf76.png"/><Relationship Id="rId11" Type="http://schemas.openxmlformats.org/officeDocument/2006/relationships/image" Target="media/8b90cd6f94562d688c015225c375612d9486ab1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Erwartungshorizont „Smart-Home-Befehle“</dc:title>
  <dc:creator>Frank Juchim</dc:creator>
  <dc:description>Informatik LK – Automaten und formale Sprachen</dc:description>
  <cp:lastModifiedBy>Un-named</cp:lastModifiedBy>
  <cp:revision>1</cp:revision>
  <dcterms:created xsi:type="dcterms:W3CDTF">2026-10-03T21:41:50.977Z</dcterms:created>
  <dcterms:modified xsi:type="dcterms:W3CDTF">2026-10-03T21:41:50.977Z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