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7031"/>
        <w:gridCol w:w="2835"/>
      </w:tblGrid>
      <w:tr>
        <w:tc>
          <w:tcPr>
            <w:tcW w:type="dxa" w:w="703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B26A0F"/>
                <w:sz w:val="18"/>
                <w:szCs w:val="18"/>
              </w:rPr>
              <w:t xml:space="preserve">Merkblatt</w:t>
            </w: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   M08  ·  Welt C</w:t>
            </w:r>
          </w:p>
          <w:p>
            <w:pPr>
              <w:spacing w:after="40" w:before="20"/>
            </w:pPr>
            <w:r>
              <w:rPr>
                <w:rFonts w:ascii="Cambria" w:cs="Cambria" w:eastAsia="Cambria" w:hAnsi="Cambria"/>
                <w:b/>
                <w:bCs/>
                <w:color w:val="0E6455"/>
                <w:sz w:val="40"/>
                <w:szCs w:val="40"/>
              </w:rPr>
              <w:t xml:space="preserve">Grammatiken &amp; Ableitungen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Merkblatt M08 · Level 11 · Begriffe, Notation, Ableitung</w:t>
            </w:r>
          </w:p>
        </w:tc>
        <w:tc>
          <w:tcPr>
            <w:tcW w:type="dxa" w:w="28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  <w:vAlign w:val="bottom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5B6770"/>
                <w:sz w:val="18"/>
                <w:szCs w:val="18"/>
              </w:rPr>
              <w:t xml:space="preserve">Informatik LK (eA)</w:t>
            </w:r>
          </w:p>
        </w:tc>
      </w:tr>
    </w:tbl>
    <w:p>
      <w:pPr>
        <w:pBdr>
          <w:bottom w:val="single" w:color="0E6455" w:sz="12" w:space="1"/>
        </w:pBdr>
        <w:spacing w:after="200" w:before="6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1  Begriffe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268"/>
        <w:gridCol w:w="5103"/>
        <w:gridCol w:w="2495"/>
      </w:tblGrid>
      <w:tr>
        <w:trPr>
          <w:cantSplit/>
          <w:tblHeader/>
        </w:trPr>
        <w:tc>
          <w:tcPr>
            <w:tcW w:type="dxa" w:w="2268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Begriff</w:t>
            </w:r>
          </w:p>
        </w:tc>
        <w:tc>
          <w:tcPr>
            <w:tcW w:type="dxa" w:w="5103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Bedeutung</w:t>
            </w:r>
          </w:p>
        </w:tc>
        <w:tc>
          <w:tcPr>
            <w:tcW w:type="dxa" w:w="249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Beispiel: Glal-Sprache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Terminalsymbole T (Alphabet)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Menge der Zeichen, aus denen die Wörter der Sprache bestehen (Kleinbuchstaben, Ziffern, Sonderzeichen)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T = {la, le, lu}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Nichtterminalsymbole N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Platzhalter, die bei der Ableitung ersetzt werden (Großbuchstaben oder Namen)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 = {S, A, B}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Startsymbol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Nichtterminal, mit dem jede Ableitung beginnt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S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Produktionsregeln P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→ w: A darf durch w ersetzt werden; Alternativen mit |; ε als rechte Seite erlaubt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 → laB | leB | luB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Wort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endliche Folge von Terminalsymbolen (auch das leere Wort ε)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lelalu</w:t>
            </w:r>
          </w:p>
        </w:tc>
      </w:tr>
      <w:tr>
        <w:trPr>
          <w:cantSplit/>
          <w:tblHeader w:val="false"/>
        </w:trPr>
        <w:tc>
          <w:tcPr>
            <w:tcW w:type="dxa" w:w="2268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Sprache L(G)</w:t>
            </w:r>
          </w:p>
        </w:tc>
        <w:tc>
          <w:tcPr>
            <w:tcW w:type="dxa" w:w="5103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Menge aller Wörter, die sich aus dem Startsymbol ableiten lassen</w:t>
            </w:r>
          </w:p>
        </w:tc>
        <w:tc>
          <w:tcPr>
            <w:tcW w:type="dxa" w:w="249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9 Wörter aus 3 Silben, Ende lu</w:t>
            </w:r>
          </w:p>
        </w:tc>
      </w:tr>
    </w:tbl>
    <w:p>
      <w:pPr>
        <w:spacing w:after="140" w:before="0"/>
      </w:pP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2  Grammatik angeben (Abitur-Format)</w:t>
      </w:r>
    </w:p>
    <w:tbl>
      <w:tblPr>
        <w:tblW w:type="dxa" w:w="98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216"/>
        <w:gridCol w:w="4650"/>
      </w:tblGrid>
      <w:tr>
        <w:trPr>
          <w:cantSplit/>
        </w:trPr>
        <w:tc>
          <w:tcPr>
            <w:tcW w:type="dxa" w:w="52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80"/>
            </w:tcMar>
          </w:tcPr>
          <w:tbl>
            <w:tblPr>
              <w:tblW w:type="dxa" w:w="4649"/>
              <w:tblBorders>
                <w:top w:val="single" w:color="C9D3D6" w:sz="6"/>
                <w:left w:val="single" w:color="C9D3D6" w:sz="6"/>
                <w:bottom w:val="single" w:color="C9D3D6" w:sz="6"/>
                <w:right w:val="single" w:color="C9D3D6" w:sz="6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4649"/>
            </w:tblGrid>
            <w:tr>
              <w:trPr>
                <w:cantSplit/>
              </w:trPr>
              <w:tc>
                <w:tcPr>
                  <w:tcW w:type="dxa" w:w="4649"/>
                  <w:shd w:fill="F6F8F8" w:color="auto" w:val="clear"/>
                  <w:tcMar>
                    <w:top w:type="dxa" w:w="120"/>
                    <w:left w:type="dxa" w:w="200"/>
                    <w:bottom w:type="dxa" w:w="100"/>
                    <w:right w:type="dxa" w:w="200"/>
                  </w:tcMar>
                  <w:vAlign w:val="top"/>
                </w:tcPr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N = {S, A, B}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T = {la, le, lu}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Startsymbol: S</w:t>
                  </w:r>
                </w:p>
                <w:p>
                  <w:pPr>
                    <w:spacing w:after="30" w:before="0" w:line="276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Produktionsregeln: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S → laA | leA | luA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A → laB | leB | luB</w:t>
                  </w:r>
                </w:p>
                <w:p>
                  <w:pPr>
                    <w:spacing w:after="30" w:before="0" w:line="276"/>
                    <w:ind w:left="280"/>
                    <w:jc w:val="left"/>
                  </w:pPr>
                  <w:r>
                    <w:rPr>
                      <w:rFonts w:ascii="Calibri" w:cs="Calibri" w:eastAsia="Calibri" w:hAnsi="Calibri"/>
                      <w:color w:val="1F2A2E"/>
                      <w:sz w:val="21"/>
                      <w:szCs w:val="21"/>
                    </w:rPr>
                    <w:t xml:space="preserve">B → lu</w:t>
                  </w:r>
                </w:p>
              </w:tc>
            </w:tr>
          </w:tbl>
          <w:p>
            <w:pPr>
              <w:spacing w:after="120" w:before="0"/>
            </w:pPr>
          </w:p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Kurz: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G = (N, T, S, P)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. „Grammatik“ ohne Zusatz meint im Abitur eine kontextfreie Grammatik: links steht genau </w:t>
            </w:r>
            <w:r>
              <w:rPr>
                <w:rFonts w:ascii="Calibri" w:cs="Calibri" w:eastAsia="Calibri" w:hAnsi="Calibri"/>
                <w:b/>
                <w:bCs/>
                <w:color w:val="1F2A2E"/>
                <w:sz w:val="20"/>
                <w:szCs w:val="20"/>
              </w:rPr>
              <w:t xml:space="preserve">ein</w:t>
            </w: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 Nichtterminal.</w:t>
            </w:r>
          </w:p>
        </w:tc>
        <w:tc>
          <w:tcPr>
            <w:tcW w:type="dxa" w:w="46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80"/>
              <w:bottom w:type="dxa" w:w="0"/>
              <w:right w:type="dxa" w:w="0"/>
            </w:tcMar>
          </w:tcPr>
          <w:p>
            <w:pPr>
              <w:keepNext/>
              <w:spacing w:after="20" w:before="60"/>
              <w:jc w:val="center"/>
            </w:pPr>
            <w:r>
              <w:drawing>
                <wp:inline distT="0" distB="0" distL="0" distR="0">
                  <wp:extent cx="1076325" cy="1447800"/>
                  <wp:effectExtent t="0" r="0" b="0" l="0"/>
                  <wp:docPr id="1" name="baum_glal.png" descr="Ableitungsbaum zu lelalu" title="Ableitungsbaum zu lelal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 w:before="0" w:line="276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5B6770"/>
                <w:sz w:val="18"/>
                <w:szCs w:val="18"/>
              </w:rPr>
              <w:t xml:space="preserve">Ableitungsbaum zu lelalu</w:t>
            </w:r>
          </w:p>
        </w:tc>
      </w:tr>
    </w:tbl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3  Ableitung und Ableitungsbaum</w:t>
      </w:r>
    </w:p>
    <w:tbl>
      <w:tblPr>
        <w:tblW w:type="dxa" w:w="6237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835"/>
        <w:gridCol w:w="3402"/>
      </w:tblGrid>
      <w:tr>
        <w:trPr>
          <w:cantSplit/>
          <w:tblHeader/>
        </w:trPr>
        <w:tc>
          <w:tcPr>
            <w:tcW w:type="dxa" w:w="283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Satzform</w:t>
            </w:r>
          </w:p>
        </w:tc>
        <w:tc>
          <w:tcPr>
            <w:tcW w:type="dxa" w:w="340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angewandte Regel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S → leA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⇒ leA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A → laB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⇒ lelaB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B → lu</w:t>
            </w:r>
          </w:p>
        </w:tc>
      </w:tr>
      <w:tr>
        <w:trPr>
          <w:cantSplit/>
          <w:tblHeader w:val="false"/>
        </w:trPr>
        <w:tc>
          <w:tcPr>
            <w:tcW w:type="dxa" w:w="283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⇒ lelalu</w:t>
            </w:r>
          </w:p>
        </w:tc>
        <w:tc>
          <w:tcPr>
            <w:tcW w:type="dxa" w:w="340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color w:val="1F2A2E"/>
                <w:sz w:val="19"/>
                <w:szCs w:val="19"/>
              </w:rPr>
              <w:t xml:space="preserve">– fertig: nur Terminalsymbole –</w:t>
            </w:r>
          </w:p>
        </w:tc>
      </w:tr>
    </w:tbl>
    <w:p>
      <w:pPr>
        <w:spacing w:after="140" w:before="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In jedem Schritt wird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ein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Nichtterminal durch die rechte Seite einer seiner Regeln ersetzt. Zwischen Satzformen steht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⇒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, in Regeln steht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→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Die Ableitung endet, wenn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nur noch Terminalsymbole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übrig sind. Kurzform: S ⇒ leA ⇒ lelaB ⇒ lelalu.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F2A2E"/>
          <w:sz w:val="21"/>
          <w:szCs w:val="21"/>
        </w:rPr>
        <w:t xml:space="preserve">Im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Ableitungsbaum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steht das Startsymbol oben, jede Regelanwendung erzeugt die Kinder eines Knotens; die Blätter ergeben – von links nach rechts gelesen – das Wort.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4  Die Sprache einer Grammatik beschreiben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Ausprobieren: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die kürzesten Wörter ableiten (Welche Regel beendet die Ableitung?).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Rekursion finden: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Welche Regeln enthalten ihr eigenes Nichtterminal (S → aSa)? Sie können beliebig oft angewendet werden – so entstehen unendlich viele Wörter.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Bedeutung der Nichtterminale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formulieren: „In A ist schon eine Silbe erzeugt, B erzeugt die letzte Silbe.“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Beschreiben: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in Worten und, wo möglich, als Menge, z. B. L = {aⁿbaⁿ | n ≥ 0}.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Prüfen: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Beispiel- und Gegenbeispielwörter testen.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5  Formale und natürliche Sprachen</w:t>
      </w:r>
    </w:p>
    <w:tbl>
      <w:tblPr>
        <w:tblW w:type="dxa" w:w="9866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2155"/>
        <w:gridCol w:w="3629"/>
        <w:gridCol w:w="4082"/>
      </w:tblGrid>
      <w:tr>
        <w:trPr>
          <w:cantSplit/>
          <w:tblHeader/>
        </w:trPr>
        <w:tc>
          <w:tcPr>
            <w:tcW w:type="dxa" w:w="215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Aspekt</w:t>
            </w:r>
          </w:p>
        </w:tc>
        <w:tc>
          <w:tcPr>
            <w:tcW w:type="dxa" w:w="3629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formale Sprache</w:t>
            </w:r>
          </w:p>
        </w:tc>
        <w:tc>
          <w:tcPr>
            <w:tcW w:type="dxa" w:w="4082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natürliche Sprache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Regeln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vollständig festgelegt, keine Ausnahmen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gewachsen, Ausnahmen, Sprachwandel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Eindeutigkeit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eindeutig interpretierbar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oft mehrdeutig („Ich sah den Mann mit dem Fernglas.“)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Bedeutung (Semantik)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exakt definiert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kontextabhängig (Ironie, Betonung)</w:t>
            </w:r>
          </w:p>
        </w:tc>
      </w:tr>
      <w:tr>
        <w:trPr>
          <w:cantSplit/>
          <w:tblHeader w:val="false"/>
        </w:trPr>
        <w:tc>
          <w:tcPr>
            <w:tcW w:type="dxa" w:w="215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Wortschatz</w:t>
            </w:r>
          </w:p>
        </w:tc>
        <w:tc>
          <w:tcPr>
            <w:tcW w:type="dxa" w:w="3629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festes, endliches Alphabet</w:t>
            </w:r>
          </w:p>
        </w:tc>
        <w:tc>
          <w:tcPr>
            <w:tcW w:type="dxa" w:w="4082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offen, neue Wörter entstehen</w:t>
            </w:r>
          </w:p>
        </w:tc>
      </w:tr>
    </w:tbl>
    <w:p>
      <w:pPr>
        <w:spacing w:after="140" w:before="0"/>
      </w:pPr>
    </w:p>
    <w:p>
      <w:pPr>
        <w:spacing w:after="100" w:before="0" w:line="276"/>
        <w:jc w:val="left"/>
      </w:pP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Syntax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= Regeln für die Form, </w:t>
      </w:r>
      <w:r>
        <w:rPr>
          <w:rFonts w:ascii="Calibri" w:cs="Calibri" w:eastAsia="Calibri" w:hAnsi="Calibri"/>
          <w:b/>
          <w:bCs/>
          <w:color w:val="1F2A2E"/>
          <w:sz w:val="21"/>
          <w:szCs w:val="21"/>
        </w:rPr>
        <w:t xml:space="preserve">Semantik</w:t>
      </w:r>
      <w:r>
        <w:rPr>
          <w:rFonts w:ascii="Calibri" w:cs="Calibri" w:eastAsia="Calibri" w:hAnsi="Calibri"/>
          <w:color w:val="1F2A2E"/>
          <w:sz w:val="21"/>
          <w:szCs w:val="21"/>
        </w:rPr>
        <w:t xml:space="preserve"> = Bedeutung. Grammatiken legen die Syntax fest: „Die Ziege liest Zeitung.“ ist syntaktisch korrekt, aber semantisch unsinnig.</w:t>
      </w:r>
    </w:p>
    <w:p>
      <w:pPr>
        <w:keepNext/>
        <w:spacing w:after="100" w:before="260"/>
      </w:pPr>
      <w:r>
        <w:rPr>
          <w:rFonts w:ascii="Cambria" w:cs="Cambria" w:eastAsia="Cambria" w:hAnsi="Cambria"/>
          <w:b/>
          <w:bCs/>
          <w:color w:val="0E6455"/>
          <w:sz w:val="27"/>
          <w:szCs w:val="27"/>
        </w:rPr>
        <w:t xml:space="preserve">6  Abi-Check: Grammatiken</w:t>
      </w:r>
    </w:p>
    <w:tbl>
      <w:tblPr>
        <w:tblW w:type="dxa" w:w="9865"/>
        <w:tblBorders>
          <w:top w:val="single" w:color="C9D3D6" w:sz="4"/>
          <w:left w:val="single" w:color="C9D3D6" w:sz="4"/>
          <w:bottom w:val="single" w:color="C9D3D6" w:sz="4"/>
          <w:right w:val="single" w:color="C9D3D6" w:sz="4"/>
          <w:insideH w:val="single" w:color="C9D3D6" w:sz="4"/>
          <w:insideV w:val="single" w:color="C9D3D6" w:sz="4"/>
        </w:tblBorders>
        <w:tblLayout w:type="fixed"/>
      </w:tblPr>
      <w:tblGrid>
        <w:gridCol w:w="3515"/>
        <w:gridCol w:w="6350"/>
      </w:tblGrid>
      <w:tr>
        <w:trPr>
          <w:cantSplit/>
          <w:tblHeader/>
        </w:trPr>
        <w:tc>
          <w:tcPr>
            <w:tcW w:type="dxa" w:w="3515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Operator</w:t>
            </w:r>
          </w:p>
        </w:tc>
        <w:tc>
          <w:tcPr>
            <w:tcW w:type="dxa" w:w="6350"/>
            <w:shd w:fill="0E6455" w:color="auto" w:val="clear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 gehst du vor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Zeigen Sie, dass w erzeugt wird. / Stellen Sie mithilfe der Produktionsregeln dar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Vollständige Ableitung vom Startsymbol bis w, jeder Schritt mit ⇒; pro Schritt ein Nichtterminal ersetzen.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Untersuchen Sie, ob w erzeugt werden kann.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Ja: Ableitung angeben. Nein: begründen, an welcher Stelle keine Regel passt („Die letzte Silbe entsteht nur durch B → lu, daher …“).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Beschreiben Sie die Sprache / die Struktur.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Aufbau der Wörter in Worten (Anfang, Wiederholung, Ende, Anzahlen) oder als Menge; Bedeutung der Nichtterminale nennen.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Verändern Sie die Grammatik so, dass …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Nur die nötigen Regeln ändern, Vorgaben beachten (z. B. Terminalalphabet unverändert); mit Beispiel und Gegenbeispiel prüfen.</w:t>
            </w:r>
          </w:p>
        </w:tc>
      </w:tr>
      <w:tr>
        <w:trPr>
          <w:cantSplit/>
          <w:tblHeader w:val="false"/>
        </w:trPr>
        <w:tc>
          <w:tcPr>
            <w:tcW w:type="dxa" w:w="3515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2A2E"/>
                <w:sz w:val="19"/>
                <w:szCs w:val="19"/>
              </w:rPr>
              <w:t xml:space="preserve">Vergleichen Sie formale und natürliche Sprachen.</w:t>
            </w:r>
          </w:p>
        </w:tc>
        <w:tc>
          <w:tcPr>
            <w:tcW w:type="dxa" w:w="6350"/>
            <w:tcMar>
              <w:top w:type="dxa" w:w="50"/>
              <w:left w:type="dxa" w:w="120"/>
              <w:bottom w:type="dxa" w:w="50"/>
              <w:right w:type="dxa" w:w="120"/>
            </w:tcMar>
            <w:vAlign w:val="center"/>
          </w:tcPr>
          <w:p>
            <w:pPr>
              <w:spacing w:after="4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E"/>
                <w:sz w:val="19"/>
                <w:szCs w:val="19"/>
              </w:rPr>
              <w:t xml:space="preserve">Je Aspekt beide Seiten gegenüberstellen – mit Beispiel.</w:t>
            </w:r>
          </w:p>
        </w:tc>
      </w:tr>
    </w:tbl>
    <w:p>
      <w:pPr>
        <w:spacing w:after="140" w:before="0"/>
      </w:pPr>
    </w:p>
    <w:tbl>
      <w:tblPr>
        <w:tblW w:type="dxa" w:w="9866"/>
        <w:tblBorders>
          <w:top w:val="single" w:color="F7E3E3" w:sz="6"/>
          <w:left w:val="single" w:color="F7E3E3" w:sz="6"/>
          <w:bottom w:val="single" w:color="F7E3E3" w:sz="6"/>
          <w:right w:val="single" w:color="F7E3E3" w:sz="6"/>
          <w:insideH w:val="none" w:color="FFFFFF" w:sz="0"/>
          <w:insideV w:val="none" w:color="FFFFFF" w:sz="0"/>
        </w:tblBorders>
        <w:tblLayout w:type="fixed"/>
      </w:tblPr>
      <w:tblGrid>
        <w:gridCol w:w="9866"/>
      </w:tblGrid>
      <w:tr>
        <w:trPr>
          <w:cantSplit/>
        </w:trPr>
        <w:tc>
          <w:tcPr>
            <w:tcW w:type="dxa" w:w="9866"/>
            <w:shd w:fill="F7E3E3" w:color="auto" w:val="clear"/>
            <w:tcMar>
              <w:top w:type="dxa" w:w="120"/>
              <w:left w:type="dxa" w:w="200"/>
              <w:bottom w:type="dxa" w:w="100"/>
              <w:right w:type="dxa" w:w="200"/>
            </w:tcMar>
            <w:vAlign w:val="top"/>
          </w:tcPr>
          <w:p>
            <w:pPr>
              <w:keepNext/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A83232"/>
                <w:sz w:val="23"/>
                <w:szCs w:val="23"/>
              </w:rPr>
              <w:t xml:space="preserve">Typische Fehler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→ und ⇒ verwechselt; mehrere Ersetzungen in einem Schritt; Ableitung endet mit Nichtterminalen („… Wasser Punkt“).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line="264"/>
            </w:pPr>
            <w:r>
              <w:rPr>
                <w:rFonts w:ascii="Calibri" w:cs="Calibri" w:eastAsia="Calibri" w:hAnsi="Calibri"/>
                <w:color w:val="1F2A2E"/>
                <w:sz w:val="20"/>
                <w:szCs w:val="20"/>
              </w:rPr>
              <w:t xml:space="preserve">„Nicht ableitbar“ ohne Begründung – im Abitur muss die Stelle benannt werden, an der keine Regel passt.</w:t>
            </w:r>
          </w:p>
        </w:tc>
      </w:tr>
    </w:tbl>
    <w:p>
      <w:pPr>
        <w:spacing w:after="140" w:before="0"/>
      </w:pPr>
    </w:p>
    <w:sectPr>
      <w:headerReference w:type="default" r:id="rId7"/>
      <w:footerReference w:type="default" r:id="rId8"/>
      <w:pgSz w:w="11906" w:h="16838" w:orient="portrait"/>
      <w:pgMar w:top="900" w:right="1020" w:bottom="900" w:left="102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Max-Planck-Gymnasium Delmenhorst  ·  M08 · Merkblatt Grammatiken</w:t>
    </w:r>
    <w:r>
      <w:rPr>
        <w:rFonts w:ascii="Calibri" w:cs="Calibri" w:eastAsia="Calibri" w:hAnsi="Calibri"/>
        <w:color w:val="5B6770"/>
        <w:sz w:val="16"/>
        <w:szCs w:val="16"/>
      </w:rPr>
      <w:t xml:space="preserve">	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866"/>
      </w:tabs>
    </w:pPr>
    <w:r>
      <w:rPr>
        <w:rFonts w:ascii="Calibri" w:cs="Calibri" w:eastAsia="Calibri" w:hAnsi="Calibri"/>
        <w:color w:val="5B6770"/>
        <w:sz w:val="16"/>
        <w:szCs w:val="16"/>
      </w:rPr>
      <w:t xml:space="preserve">Maschinen, die Sprache verstehen</w:t>
    </w:r>
    <w:r>
      <w:rPr>
        <w:rFonts w:ascii="Calibri" w:cs="Calibri" w:eastAsia="Calibri" w:hAnsi="Calibri"/>
        <w:color w:val="5B6770"/>
        <w:sz w:val="16"/>
        <w:szCs w:val="16"/>
      </w:rPr>
      <w:t xml:space="preserve">	Informatik LK · Automaten &amp; formale Sprachen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E6455"/>
      </w:rPr>
    </w:lvl>
    <w:lvl w:ilvl="1" w15:tentative="1">
      <w:start w:val="1"/>
      <w:numFmt w:val="bullet"/>
      <w:lvlText w:val="–"/>
      <w:lvlJc w:val="left"/>
      <w:pPr>
        <w:ind w:left="800" w:hanging="260"/>
      </w:pPr>
      <w:rPr>
        <w:color w:val="5B677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  <w:rPr>
        <w:b/>
        <w:bCs/>
        <w:color w:val="0E645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92cf3eb4a7a1137aee3488e57c1b4fdb1778c4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Grammatiken &amp; Ableitungen</dc:title>
  <dc:creator>Frank Juchim</dc:creator>
  <dc:description>Informatik LK – Automaten und formale Sprachen</dc:description>
  <cp:lastModifiedBy>Un-named</cp:lastModifiedBy>
  <cp:revision>1</cp:revision>
  <dcterms:created xsi:type="dcterms:W3CDTF">2026-10-03T21:40:32.621Z</dcterms:created>
  <dcterms:modified xsi:type="dcterms:W3CDTF">2026-10-03T21:40:32.621Z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