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Merkblatt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M10  ·  Welt C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30"/>
                <w:szCs w:val="30"/>
              </w:rPr>
              <w:t xml:space="preserve">Kontextfreie Grammatiken &amp; Chomsky-Hierarchie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Merkblatt M10 · Level 13–14 · Muster, Mehrdeutigkeit, Kellerautomat, Sprachklassen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Informatik LK (eA)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1  Kontextfreie Grammatik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Jede Regel hat die Form </w:t>
      </w: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A → w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: links </w:t>
      </w: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genau ein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 Nichtterminal, rechts eine beliebige Folge aus Terminalen und Nichtterminalen (auch ε). „Grammatik“ ohne Zusatz meint im Abitur eine kontextfreie Grammatik; rechtsreguläre Grammatiken sind ein Spezialfall.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835"/>
        <w:gridCol w:w="3175"/>
        <w:gridCol w:w="3856"/>
      </w:tblGrid>
      <w:tr>
        <w:trPr>
          <w:cantSplit/>
          <w:tblHeader/>
        </w:trPr>
        <w:tc>
          <w:tcPr>
            <w:tcW w:type="dxa" w:w="283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Muster</w:t>
            </w:r>
          </w:p>
        </w:tc>
        <w:tc>
          <w:tcPr>
            <w:tcW w:type="dxa" w:w="317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Regel(n)</w:t>
            </w:r>
          </w:p>
        </w:tc>
        <w:tc>
          <w:tcPr>
            <w:tcW w:type="dxa" w:w="3856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erzeugt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Paare von außen nach innen</w:t>
            </w:r>
          </w:p>
        </w:tc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 → aSb | ab</w:t>
            </w:r>
          </w:p>
        </w:tc>
        <w:tc>
          <w:tcPr>
            <w:tcW w:type="dxa" w:w="385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aⁿbⁿ (n ≥ 1)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Spiegel</w:t>
            </w:r>
          </w:p>
        </w:tc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 → 0S0 | 1S1 | 0 | 1 | ε</w:t>
            </w:r>
          </w:p>
        </w:tc>
        <w:tc>
          <w:tcPr>
            <w:tcW w:type="dxa" w:w="385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Palindrome über {0, 1}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Verschachteln + Aneinanderreihen</w:t>
            </w:r>
          </w:p>
        </w:tc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 → (S)S | ε</w:t>
            </w:r>
          </w:p>
        </w:tc>
        <w:tc>
          <w:tcPr>
            <w:tcW w:type="dxa" w:w="385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korrekte Klammerausdrücke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Wiederholung / Verkettung</w:t>
            </w:r>
          </w:p>
        </w:tc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 → xA | ε  ·  S → AB</w:t>
            </w:r>
          </w:p>
        </w:tc>
        <w:tc>
          <w:tcPr>
            <w:tcW w:type="dxa" w:w="385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beliebig viele x · erst A-, dann B-Teil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Block enthält wieder alles</w:t>
            </w:r>
          </w:p>
        </w:tc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K → (∗ S ∗)</w:t>
            </w:r>
          </w:p>
        </w:tc>
        <w:tc>
          <w:tcPr>
            <w:tcW w:type="dxa" w:w="385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beliebig tief verschachtelte Kommentare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2  Ableitungsbaum und Mehrdeutigkeit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Eine Grammatik ist </w:t>
      </w: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mehrdeutig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, wenn es ein Wort mit </w:t>
      </w: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zwei verschiedenen Ableitungsbäumen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 (gleichwertig: zwei verschiedenen Linksableitungen) gibt. Beispiel E → E+E | E∗E | (E) | a mit dem Wort a+a∗a: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keepNext/>
              <w:spacing w:after="20" w:before="60"/>
              <w:jc w:val="center"/>
            </w:pPr>
            <w:r>
              <w:drawing>
                <wp:inline distT="0" distB="0" distL="0" distR="0">
                  <wp:extent cx="1581150" cy="1047750"/>
                  <wp:effectExtent t="0" r="0" b="0" l="0"/>
                  <wp:docPr id="1" name="term_mehrdeutig_1.png" descr="a+(a∗a)" title="a+(a∗a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770"/>
                <w:sz w:val="18"/>
                <w:szCs w:val="18"/>
              </w:rPr>
              <w:t xml:space="preserve">a+(a∗a)</w:t>
            </w:r>
          </w:p>
        </w:tc>
        <w:tc>
          <w:tcPr>
            <w:tcW w:type="dxa" w:w="4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keepNext/>
              <w:spacing w:after="20" w:before="60"/>
              <w:jc w:val="center"/>
            </w:pPr>
            <w:r>
              <w:drawing>
                <wp:inline distT="0" distB="0" distL="0" distR="0">
                  <wp:extent cx="1581150" cy="1047750"/>
                  <wp:effectExtent t="0" r="0" b="0" l="0"/>
                  <wp:docPr id="1" name="term_mehrdeutig_2.png" descr="(a+a)∗a" title="(a+a)∗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770"/>
                <w:sz w:val="18"/>
                <w:szCs w:val="18"/>
              </w:rPr>
              <w:t xml:space="preserve">(a+a)∗a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Auflösen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durch zusätzliche Nichtterminale, die eine Struktur erzwingen (Punkt vor Strich: E → E+T | T,  T → T∗F | F,  F → (E) | a) oder durch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Endmarken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(wenn … dann … sonst … ende).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3  Kontextfreie Grammatik und Kellerautomat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443"/>
        <w:gridCol w:w="4423"/>
      </w:tblGrid>
      <w:tr>
        <w:trPr>
          <w:cantSplit/>
        </w:trPr>
        <w:tc>
          <w:tcPr>
            <w:tcW w:type="dxa" w:w="54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Zu jeder kontextfreien Grammatik gibt es einen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Kellerautomaten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(NKA), der genau ihre Sprache akzeptiert – und umgekehrt.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Der Keller übernimmt die Rolle der „offenen“ Regelteile: S → aSb – jedes a legt ein A ab, jedes b nimmt eines weg.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Regulär ↔ DEA, kontextfrei ↔ NKA.</w:t>
            </w:r>
          </w:p>
        </w:tc>
        <w:tc>
          <w:tcPr>
            <w:tcW w:type="dxa" w:w="44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keepNext/>
              <w:spacing w:after="20" w:before="60"/>
              <w:jc w:val="center"/>
            </w:pPr>
            <w:r>
              <w:drawing>
                <wp:inline distT="0" distB="0" distL="0" distR="0">
                  <wp:extent cx="2590800" cy="733425"/>
                  <wp:effectExtent t="0" r="0" b="0" l="0"/>
                  <wp:docPr id="1" name="anbn_nka.png" descr="NKA für aⁿbⁿ (Akzeptanz über Endzustand)" title="NKA für aⁿbⁿ (Akzeptanz über Endzustan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770"/>
                <w:sz w:val="18"/>
                <w:szCs w:val="18"/>
              </w:rPr>
              <w:t xml:space="preserve">NKA für aⁿbⁿ (Akzeptanz über Endzustand)</w:t>
            </w:r>
          </w:p>
        </w:tc>
      </w:tr>
    </w:tbl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4  Begründen: Es gibt keine reguläre Grammatik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Annahme: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Es gibt eine reguläre Grammatik, also auch einen DEA mit k Zuständen.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Präfixe wählen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, die sich der Automat „merken“ müsste: aⁱ für i = 1, …, k + 1 (bzw. „(“ⁱ bei Klammern).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Schubfachprinzip: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k + 1 Präfixe, k Zustände → zwei Präfixe aⁱ, aʲ (i ≠ j) enden im selben Zustand.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Fortsetzung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bⁱ: aⁱbⁱ gehört zur Sprache, aʲbⁱ nicht – der DEA verhält sich bei beiden gleich.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Widerspruch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– die Sprache ist nicht regulär, es gibt keine reguläre Grammatik.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Achtung: Eine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kontextfreie Grammatik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beweist nicht, dass die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Sprache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nicht regulär ist (Hostnamen: kontextfreie Grammatik, aber reguläre Sprache).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5  Die Chomsky-Hierarchie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624"/>
        <w:gridCol w:w="1644"/>
        <w:gridCol w:w="2835"/>
        <w:gridCol w:w="2041"/>
        <w:gridCol w:w="2722"/>
      </w:tblGrid>
      <w:tr>
        <w:trPr>
          <w:cantSplit/>
          <w:tblHeader/>
        </w:trPr>
        <w:tc>
          <w:tcPr>
            <w:tcW w:type="dxa" w:w="62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164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Sprachklasse</w:t>
            </w:r>
          </w:p>
        </w:tc>
        <w:tc>
          <w:tcPr>
            <w:tcW w:type="dxa" w:w="283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Grammatik (Regelform)</w:t>
            </w:r>
          </w:p>
        </w:tc>
        <w:tc>
          <w:tcPr>
            <w:tcW w:type="dxa" w:w="204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Maschine</w:t>
            </w:r>
          </w:p>
        </w:tc>
        <w:tc>
          <w:tcPr>
            <w:tcW w:type="dxa" w:w="272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Beispiele</w:t>
            </w:r>
          </w:p>
        </w:tc>
      </w:tr>
      <w:tr>
        <w:trPr>
          <w:cantSplit/>
          <w:tblHeader w:val="false"/>
        </w:trPr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</w:t>
            </w:r>
          </w:p>
        </w:tc>
        <w:tc>
          <w:tcPr>
            <w:tcW w:type="dxa" w:w="164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regulär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rechtsregulär: A → aB | a | ε</w:t>
            </w:r>
          </w:p>
        </w:tc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DEA / NEA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endet auf ab, Codes, Hostnamen</w:t>
            </w:r>
          </w:p>
        </w:tc>
      </w:tr>
      <w:tr>
        <w:trPr>
          <w:cantSplit/>
          <w:tblHeader w:val="false"/>
        </w:trPr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2</w:t>
            </w:r>
          </w:p>
        </w:tc>
        <w:tc>
          <w:tcPr>
            <w:tcW w:type="dxa" w:w="164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kontextfrei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 → w (ein Nichtterminal links)</w:t>
            </w:r>
          </w:p>
        </w:tc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Kellerautomat (NKA)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aⁿbⁿ, Palindrome, Klammern</w:t>
            </w:r>
          </w:p>
        </w:tc>
      </w:tr>
      <w:tr>
        <w:trPr>
          <w:cantSplit/>
          <w:tblHeader w:val="false"/>
        </w:trPr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</w:t>
            </w:r>
          </w:p>
        </w:tc>
        <w:tc>
          <w:tcPr>
            <w:tcW w:type="dxa" w:w="164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kontextsensitiv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u → v mit |u| ≤ |v| (Ausblick)</w:t>
            </w:r>
          </w:p>
        </w:tc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linear beschränkter Automat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aⁿbⁿcⁿ</w:t>
            </w:r>
          </w:p>
        </w:tc>
      </w:tr>
      <w:tr>
        <w:trPr>
          <w:cantSplit/>
          <w:tblHeader w:val="false"/>
        </w:trPr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0</w:t>
            </w:r>
          </w:p>
        </w:tc>
        <w:tc>
          <w:tcPr>
            <w:tcW w:type="dxa" w:w="164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rekursiv aufzählbar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beliebige Regeln (Ausblick)</w:t>
            </w:r>
          </w:p>
        </w:tc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Turingmaschine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(Level 16)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897"/>
        <w:gridCol w:w="3969"/>
      </w:tblGrid>
      <w:tr>
        <w:trPr>
          <w:cantSplit/>
        </w:trPr>
        <w:tc>
          <w:tcPr>
            <w:tcW w:type="dxa" w:w="58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Die Klassen sind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ineinander enthalten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: Typ 3 ⊂ Typ 2 ⊂ Typ 1 ⊂ Typ 0. Jede reguläre Sprache ist auch kontextfrei.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Möglichst speziell wählen: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Ist die Sprache regulär, gib eine rechtsreguläre Grammatik bzw. einen DEA an – keinen Kellerautomaten.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Jede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endliche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Sprache ist regulär (z. B. aⁿbⁿ mit n ≤ 3).</w:t>
            </w:r>
          </w:p>
        </w:tc>
        <w:tc>
          <w:tcPr>
            <w:tcW w:type="dxa" w:w="39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keepNext w:val="false"/>
              <w:spacing w:after="120" w:before="60"/>
              <w:jc w:val="center"/>
            </w:pPr>
            <w:r>
              <w:drawing>
                <wp:inline distT="0" distB="0" distL="0" distR="0">
                  <wp:extent cx="2371725" cy="1809750"/>
                  <wp:effectExtent t="0" r="0" b="0" l="0"/>
                  <wp:docPr id="1" name="chomsky.png" descr="Abbildung" title="Abbild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172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6  Abi-Check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3402"/>
        <w:gridCol w:w="6464"/>
      </w:tblGrid>
      <w:tr>
        <w:trPr>
          <w:cantSplit/>
          <w:tblHeader/>
        </w:trPr>
        <w:tc>
          <w:tcPr>
            <w:tcW w:type="dxa" w:w="340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Operator</w:t>
            </w:r>
          </w:p>
        </w:tc>
        <w:tc>
          <w:tcPr>
            <w:tcW w:type="dxa" w:w="646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 gehst du vor</w:t>
            </w:r>
          </w:p>
        </w:tc>
      </w:tr>
      <w:tr>
        <w:trPr>
          <w:cantSplit/>
          <w:tblHeader w:val="false"/>
        </w:trPr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Entwerfen Sie eine (kontextfreie) Grammatik …</w:t>
            </w:r>
          </w:p>
        </w:tc>
        <w:tc>
          <w:tcPr>
            <w:tcW w:type="dxa" w:w="646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Muster-Baukasten: Was muss paarweise zusammenpassen (gemeinsam in einer Regel erzeugen)? Was wiederholt sich? N, T, Startsymbol, Regeln angeben; mit Beispiel und Gegenbeispiel prüfen.</w:t>
            </w:r>
          </w:p>
        </w:tc>
      </w:tr>
      <w:tr>
        <w:trPr>
          <w:cantSplit/>
          <w:tblHeader w:val="false"/>
        </w:trPr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Zeigen Sie zwei verschiedene Ableitungen. / Verändern Sie die Grammatik, sodass sie eindeutig ist.</w:t>
            </w:r>
          </w:p>
        </w:tc>
        <w:tc>
          <w:tcPr>
            <w:tcW w:type="dxa" w:w="646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Zwei Linksableitungen oder Bäume mit verschiedener Struktur. Eindeutig machen: Endmarke oder Nichtterminale für die erlaubte Zuordnung.</w:t>
            </w:r>
          </w:p>
        </w:tc>
      </w:tr>
      <w:tr>
        <w:trPr>
          <w:cantSplit/>
          <w:tblHeader w:val="false"/>
        </w:trPr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Begründen Sie, dass es keine reguläre Grammatik gibt. / Beurteilen Sie, ob ein DEA genügt.</w:t>
            </w:r>
          </w:p>
        </w:tc>
        <w:tc>
          <w:tcPr>
            <w:tcW w:type="dxa" w:w="646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Über die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Sprache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 argumentieren: unbeschränkt gezählt/verschachtelt? Ja: Schubfach-Argument (Abschnitt 4) mit Wörtern aus dem Sachkontext. Nein: DEA bzw. reguläre Grammatik skizzieren.</w:t>
            </w:r>
          </w:p>
        </w:tc>
      </w:tr>
      <w:tr>
        <w:trPr>
          <w:cantSplit/>
          <w:tblHeader w:val="false"/>
        </w:trPr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Erläutern Sie, wie ein Kellerautomat … nutzt.</w:t>
            </w:r>
          </w:p>
        </w:tc>
        <w:tc>
          <w:tcPr>
            <w:tcW w:type="dxa" w:w="646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Was wird bei welchem Zeichen abgelegt/entfernt, was bedeutet der Kellerinhalt im Sachzusammenhang, wann wird akzeptiert?</w:t>
            </w:r>
          </w:p>
        </w:tc>
      </w:tr>
    </w:tbl>
    <w:p>
      <w:pPr>
        <w:spacing w:after="140" w:before="0"/>
      </w:pP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M10 · Merkblatt Kontextfreie Grammatiken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LK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b04e819388bde6ffdb854f2daef2cfbd94ce28a.png"/><Relationship Id="rId10" Type="http://schemas.openxmlformats.org/officeDocument/2006/relationships/image" Target="media/f6cfe96f5a32ca3ff6e2274319485a141551c55b.png"/><Relationship Id="rId11" Type="http://schemas.openxmlformats.org/officeDocument/2006/relationships/image" Target="media/80c555b6b0a2e69fbd12b07a94cf194e6a713087.png"/><Relationship Id="rId12" Type="http://schemas.openxmlformats.org/officeDocument/2006/relationships/image" Target="media/27a62cb2cec11236c3dd734c2928aac6fca21903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Kontextfreie Grammatiken &amp; Chomsky-Hierarchie</dc:title>
  <dc:creator>Frank Juchim</dc:creator>
  <dc:description>Informatik LK – Automaten und formale Sprachen</dc:description>
  <cp:lastModifiedBy>Un-named</cp:lastModifiedBy>
  <cp:revision>1</cp:revision>
  <dcterms:created xsi:type="dcterms:W3CDTF">2026-10-03T21:40:49.102Z</dcterms:created>
  <dcterms:modified xsi:type="dcterms:W3CDTF">2026-10-03T21:40:49.102Z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