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5"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ayout w:type="fixed"/>
        <w:tblLook w:firstColumn="1" w:firstRow="1" w:lastColumn="0" w:lastRow="0" w:noHBand="0" w:noVBand="1" w:val="04A0"/>
        <w:tblW w:w="9639" w:type="dxa"/>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7257"/>
        <w:gridCol w:w="2381"/>
      </w:tblGrid>
      <w:tr>
        <w:tc>
          <w:tcPr>
            <w:tcW w:type="dxa" w:w="7257"/>
            <w:shd w:val="clear" w:color="auto" w:fill="F4EDE1"/>
            <w:tcBorders>
              <w:bottom w:val="single" w:sz="18" w:space="0" w:color="B3261E"/>
            </w:tcBorders>
            <w:tcMar>
              <w:top w:w="113" w:type="dxa"/>
              <w:left w:w="198" w:type="dxa"/>
              <w:bottom w:w="113" w:type="dxa"/>
              <w:right w:w="142" w:type="dxa"/>
            </w:tcMar>
          </w:tcPr>
          <w:p>
            <w:pPr>
              <w:pStyle w:val="DDTabellentext"/>
            </w:pPr>
            <w:r>
              <w:rPr>
                <w:rFonts w:ascii="IBM Plex Mono" w:hAnsi="IBM Plex Mono" w:eastAsia="IBM Plex Mono" w:cs="IBM Plex Mono"/>
                <w:b/>
                <w:color w:val="46525E"/>
                <w:sz w:val="16"/>
                <w:spacing w:val="16"/>
              </w:rPr>
              <w:t>AKTE 5 · ERMITTLUNG 5.2 · DS 10</w:t>
            </w:r>
          </w:p>
          <w:p>
            <w:pPr>
              <w:pStyle w:val="DDTabellentext"/>
              <w:spacing w:before="60" w:after="40"/>
            </w:pPr>
            <w:r>
              <w:rPr>
                <w:rFonts w:ascii="Barlow Condensed SemiBold" w:hAnsi="Barlow Condensed SemiBold" w:eastAsia="Barlow Condensed SemiBold" w:cs="Barlow Condensed SemiBold"/>
                <w:color w:val="1C2B3A"/>
                <w:sz w:val="42"/>
              </w:rPr>
              <w:t>Der Architekturwettbewerb</w:t>
            </w:r>
          </w:p>
          <w:p>
            <w:pPr>
              <w:pStyle w:val="DDTabellentext"/>
            </w:pPr>
            <w:r>
              <w:rPr>
                <w:color w:val="46525E"/>
                <w:sz w:val="21"/>
              </w:rPr>
              <w:t>ER-Modell entwickeln und erweitern: rekursiv, mehrere Beziehungstypen, ternär, Grenzen der Notation · nur eA</w:t>
            </w:r>
          </w:p>
          <w:p>
            <w:pPr>
              <w:pStyle w:val="DDTabellentext"/>
              <w:spacing w:before="100"/>
            </w:pPr>
            <w:r>
              <w:rPr>
                <w:rFonts w:ascii="IBM Plex Mono" w:hAnsi="IBM Plex Mono" w:eastAsia="IBM Plex Mono" w:cs="IBM Plex Mono"/>
                <w:b/>
                <w:color w:val="B3261E"/>
                <w:sz w:val="17"/>
                <w:spacing w:val="16"/>
              </w:rPr>
              <w:t>LÖSUNG · NUR LEHRKRAFT</w:t>
            </w:r>
          </w:p>
        </w:tc>
        <w:tc>
          <w:tcPr>
            <w:tcW w:type="dxa" w:w="2381"/>
            <w:shd w:val="clear" w:color="auto" w:fill="F4EDE1"/>
            <w:tcBorders>
              <w:bottom w:val="single" w:sz="18" w:space="0" w:color="B3261E"/>
            </w:tcBorders>
            <w:tcMar>
              <w:top w:w="113" w:type="dxa"/>
              <w:left w:w="198" w:type="dxa"/>
              <w:bottom w:w="113" w:type="dxa"/>
              <w:right w:w="142" w:type="dxa"/>
            </w:tcMar>
            <w:vAlign w:val="center"/>
          </w:tcPr>
          <w:p>
            <w:pPr>
              <w:jc w:val="center"/>
            </w:pPr>
            <w:r>
              <w:drawing>
                <wp:inline xmlns:a="http://schemas.openxmlformats.org/drawingml/2006/main" xmlns:pic="http://schemas.openxmlformats.org/drawingml/2006/picture">
                  <wp:extent cx="1188000" cy="422241"/>
                  <wp:docPr id="1" name="Picture 1"/>
                  <wp:cNvGraphicFramePr>
                    <a:graphicFrameLocks noChangeAspect="1"/>
                  </wp:cNvGraphicFramePr>
                  <a:graphic>
                    <a:graphicData uri="http://schemas.openxmlformats.org/drawingml/2006/picture">
                      <pic:pic>
                        <pic:nvPicPr>
                          <pic:cNvPr id="0" name="stempel.png"/>
                          <pic:cNvPicPr/>
                        </pic:nvPicPr>
                        <pic:blipFill>
                          <a:blip r:embed="rId11"/>
                          <a:stretch>
                            <a:fillRect/>
                          </a:stretch>
                        </pic:blipFill>
                        <pic:spPr>
                          <a:xfrm>
                            <a:off x="0" y="0"/>
                            <a:ext cx="1188000" cy="422241"/>
                          </a:xfrm>
                          <a:prstGeom prst="rect"/>
                        </pic:spPr>
                      </pic:pic>
                    </a:graphicData>
                  </a:graphic>
                </wp:inline>
              </w:drawing>
            </w:r>
          </w:p>
        </w:tc>
      </w:tr>
    </w:tbl>
    <w:p>
      <w:pPr>
        <w:spacing w:after="0" w:line="160" w:lineRule="exact"/>
      </w:pPr>
    </w:p>
    <w:p>
      <w:pPr>
        <w:pStyle w:val="DDFall-Einstieg"/>
      </w:pPr>
      <w:r>
        <w:rPr>
          <w:rFonts w:ascii="IBM Plex Mono" w:hAnsi="IBM Plex Mono" w:eastAsia="IBM Plex Mono" w:cs="IBM Plex Mono"/>
          <w:b/>
          <w:color w:val="B3261E"/>
          <w:sz w:val="15"/>
          <w:spacing w:val="16"/>
        </w:rPr>
        <w:t xml:space="preserve">FALL-EINSTIEG  </w:t>
      </w:r>
      <w:r>
        <w:t>Edda Lorenz schreibt einen Wettbewerb aus: Das Team mit dem besten Bauplan für die Fall-Datenbank bekommt den Stempel ARCHITEKTUR – und sein Entwurf wird gebaut.</w:t>
      </w:r>
    </w:p>
    <w:tbl>
      <w:tblPr>
        <w:tblLayout w:type="fixed"/>
        <w:tblLook w:firstColumn="1" w:firstRow="1" w:lastColumn="0" w:lastRow="0" w:noHBand="0" w:noVBand="1" w:val="04A0"/>
        <w:tblW w:w="9639" w:type="dxa"/>
      </w:tblPr>
      <w:tblGrid>
        <w:gridCol w:w="9639"/>
      </w:tblGrid>
      <w:tr>
        <w:tc>
          <w:tcPr>
            <w:tcW w:type="dxa" w:w="9638"/>
            <w:tcBorders>
              <w:top w:val="single" w:sz="8" w:space="0" w:color="B08D3C"/>
              <w:left w:val="single" w:sz="8" w:space="0" w:color="B08D3C"/>
              <w:bottom w:val="single" w:sz="8" w:space="0" w:color="B08D3C"/>
              <w:right w:val="single" w:sz="8" w:space="0" w:color="B08D3C"/>
            </w:tcBorders>
            <w:shd w:val="clear" w:color="auto" w:fill="FFFDF8"/>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7A5E1F"/>
                <w:sz w:val="15"/>
                <w:spacing w:val="16"/>
              </w:rPr>
              <w:t>BEWEISSTÜCK 1</w:t>
            </w:r>
            <w:r>
              <w:rPr>
                <w:rFonts w:ascii="Barlow Condensed SemiBold" w:hAnsi="Barlow Condensed SemiBold" w:eastAsia="Barlow Condensed SemiBold" w:cs="Barlow Condensed SemiBold"/>
                <w:color w:val="1C2B3A"/>
                <w:sz w:val="24"/>
              </w:rPr>
              <w:t xml:space="preserve">  Vom Text zum Modell</w:t>
            </w:r>
          </w:p>
          <w:p>
            <w:pPr>
              <w:pStyle w:val="DDTabellentext"/>
              <w:tabs>
                <w:tab w:pos="312" w:val="left"/>
              </w:tabs>
              <w:spacing w:after="40"/>
              <w:ind w:left="312" w:hanging="255"/>
            </w:pPr>
            <w:r>
              <w:rPr>
                <w:b/>
                <w:color w:val="46525E"/>
              </w:rPr>
              <w:t>1.</w:t>
              <w:tab/>
            </w:r>
            <w:r>
              <w:rPr>
                <w:b/>
              </w:rPr>
              <w:t>Substantive</w:t>
            </w:r>
            <w:r>
              <w:t xml:space="preserve"> → Entitätstypen (Singular) mit ihren Attributen; je Entitätstyp ein </w:t>
            </w:r>
            <w:r>
              <w:rPr>
                <w:b/>
              </w:rPr>
              <w:t>Schlüsselattribut</w:t>
            </w:r>
            <w:r>
              <w:t xml:space="preserve"> festlegen und unterstreichen.</w:t>
            </w:r>
          </w:p>
          <w:p>
            <w:pPr>
              <w:pStyle w:val="DDTabellentext"/>
              <w:tabs>
                <w:tab w:pos="312" w:val="left"/>
              </w:tabs>
              <w:spacing w:after="40"/>
              <w:ind w:left="312" w:hanging="255"/>
            </w:pPr>
            <w:r>
              <w:rPr>
                <w:b/>
                <w:color w:val="46525E"/>
              </w:rPr>
              <w:t>2.</w:t>
              <w:tab/>
            </w:r>
            <w:r>
              <w:rPr>
                <w:b/>
              </w:rPr>
              <w:t>Verben</w:t>
            </w:r>
            <w:r>
              <w:t xml:space="preserve"> → Beziehungstypen in lowerCamelCase, z. B. </w:t>
            </w:r>
            <w:r>
              <w:rPr>
                <w:i/>
              </w:rPr>
              <w:t>versorgt</w:t>
            </w:r>
            <w:r>
              <w:t xml:space="preserve"> oder </w:t>
            </w:r>
            <w:r>
              <w:rPr>
                <w:i/>
              </w:rPr>
              <w:t>istPateVon</w:t>
            </w:r>
            <w:r>
              <w:t>.</w:t>
            </w:r>
          </w:p>
          <w:p>
            <w:pPr>
              <w:pStyle w:val="DDTabellentext"/>
              <w:tabs>
                <w:tab w:pos="312" w:val="left"/>
              </w:tabs>
              <w:spacing w:after="40"/>
              <w:ind w:left="312" w:hanging="255"/>
            </w:pPr>
            <w:r>
              <w:rPr>
                <w:b/>
                <w:color w:val="46525E"/>
              </w:rPr>
              <w:t>3.</w:t>
              <w:tab/>
            </w:r>
            <w:r>
              <w:rPr>
                <w:b/>
              </w:rPr>
              <w:t>Mengenangaben</w:t>
            </w:r>
            <w:r>
              <w:t xml:space="preserve"> („genau ein“, „höchstens ein“, „mehrere“) → Kardinalitäten, in </w:t>
            </w:r>
            <w:r>
              <w:rPr>
                <w:b/>
              </w:rPr>
              <w:t>beiden</w:t>
            </w:r>
            <w:r>
              <w:t xml:space="preserve"> Richtungen lesen.</w:t>
            </w:r>
          </w:p>
          <w:p>
            <w:pPr>
              <w:pStyle w:val="DDTabellentext"/>
              <w:tabs>
                <w:tab w:pos="312" w:val="left"/>
              </w:tabs>
              <w:spacing w:after="40"/>
              <w:ind w:left="312" w:hanging="255"/>
            </w:pPr>
            <w:r>
              <w:rPr>
                <w:b/>
                <w:color w:val="46525E"/>
              </w:rPr>
              <w:t>4.</w:t>
              <w:tab/>
            </w:r>
            <w:r>
              <w:t xml:space="preserve">Angaben, die vom </w:t>
            </w:r>
            <w:r>
              <w:rPr>
                <w:b/>
              </w:rPr>
              <w:t>Paar</w:t>
            </w:r>
            <w:r>
              <w:t xml:space="preserve"> (oder Trio) abhängen → Attribute an der Raute.</w:t>
            </w:r>
          </w:p>
          <w:p>
            <w:pPr>
              <w:pStyle w:val="DDTabellentext"/>
              <w:tabs>
                <w:tab w:pos="312" w:val="left"/>
              </w:tabs>
              <w:spacing w:after="40"/>
              <w:ind w:left="312" w:hanging="255"/>
            </w:pPr>
            <w:r>
              <w:rPr>
                <w:b/>
                <w:color w:val="46525E"/>
              </w:rPr>
              <w:t>5.</w:t>
              <w:tab/>
            </w:r>
            <w:r>
              <w:t>Kontrolle: Jede Information des Textes ist im Modell abgehakt.</w:t>
            </w:r>
          </w:p>
          <w:tbl>
            <w:tblPr>
              <w:tblStyle w:val="Datentabelle"/>
              <w:jc w:val="left"/>
              <w:tblLayout w:type="fixed"/>
              <w:tblLook w:firstColumn="1" w:firstRow="1" w:lastColumn="0" w:lastRow="0" w:noHBand="0" w:noVBand="1" w:val="04A0"/>
              <w:tblW w:w="9412" w:type="dxa"/>
            </w:tblPr>
            <w:tblGrid>
              <w:gridCol w:w="4762"/>
              <w:gridCol w:w="4649"/>
            </w:tblGrid>
            <w:tr>
              <w:trPr>
                <w:tblHeader/>
              </w:trPr>
              <w:tc>
                <w:tcPr>
                  <w:tcW w:type="dxa" w:w="4762"/>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Textstelle (Tierheim)</w:t>
                  </w:r>
                </w:p>
              </w:tc>
              <w:tc>
                <w:tcPr>
                  <w:tcW w:type="dxa" w:w="4649"/>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im Modell</w:t>
                  </w:r>
                </w:p>
              </w:tc>
            </w:tr>
            <w:tr>
              <w:tc>
                <w:tcPr>
                  <w:tcW w:type="dxa" w:w="4762"/>
                  <w:tcBorders>
                    <w:top w:val="single" w:sz="4" w:space="0" w:color="D8CCB6"/>
                    <w:left w:val="single" w:sz="4" w:space="0" w:color="D8CCB6"/>
                    <w:bottom w:val="single" w:sz="4" w:space="0" w:color="D8CCB6"/>
                    <w:right w:val="single" w:sz="4" w:space="0" w:color="D8CCB6"/>
                  </w:tcBorders>
                </w:tcPr>
                <w:p>
                  <w:pPr>
                    <w:pStyle w:val="DDTabellentext"/>
                  </w:pPr>
                  <w:r>
                    <w:rPr>
                      <w:sz w:val="18"/>
                    </w:rPr>
                    <w:t xml:space="preserve">„Jedes </w:t>
                  </w:r>
                  <w:r>
                    <w:rPr>
                      <w:b/>
                      <w:sz w:val="18"/>
                    </w:rPr>
                    <w:t>Tier</w:t>
                  </w:r>
                  <w:r>
                    <w:rPr>
                      <w:sz w:val="18"/>
                    </w:rPr>
                    <w:t xml:space="preserve"> (Nummer, Name, Art) …“</w:t>
                  </w:r>
                </w:p>
              </w:tc>
              <w:tc>
                <w:tcPr>
                  <w:tcW w:type="dxa" w:w="4649"/>
                  <w:tcBorders>
                    <w:top w:val="single" w:sz="4" w:space="0" w:color="D8CCB6"/>
                    <w:left w:val="single" w:sz="4" w:space="0" w:color="D8CCB6"/>
                    <w:bottom w:val="single" w:sz="4" w:space="0" w:color="D8CCB6"/>
                    <w:right w:val="single" w:sz="4" w:space="0" w:color="D8CCB6"/>
                  </w:tcBorders>
                </w:tcPr>
                <w:p>
                  <w:pPr>
                    <w:pStyle w:val="DDTabellentext"/>
                  </w:pPr>
                  <w:r>
                    <w:rPr>
                      <w:sz w:val="18"/>
                    </w:rPr>
                    <w:t>Entitätstyp Tier, Schlüsselattribut TierNr</w:t>
                  </w:r>
                </w:p>
              </w:tc>
            </w:tr>
            <w:tr>
              <w:tc>
                <w:tcPr>
                  <w:tcW w:type="dxa" w:w="4762"/>
                  <w:tcBorders>
                    <w:top w:val="single" w:sz="4" w:space="0" w:color="D8CCB6"/>
                    <w:left w:val="single" w:sz="4" w:space="0" w:color="D8CCB6"/>
                    <w:bottom w:val="single" w:sz="4" w:space="0" w:color="D8CCB6"/>
                    <w:right w:val="single" w:sz="4" w:space="0" w:color="D8CCB6"/>
                  </w:tcBorders>
                </w:tcPr>
                <w:p>
                  <w:pPr>
                    <w:pStyle w:val="DDTabellentext"/>
                  </w:pPr>
                  <w:r>
                    <w:rPr>
                      <w:sz w:val="18"/>
                    </w:rPr>
                    <w:t xml:space="preserve">„… wird von genau einer Pflegekraft </w:t>
                  </w:r>
                  <w:r>
                    <w:rPr>
                      <w:b/>
                      <w:sz w:val="18"/>
                    </w:rPr>
                    <w:t>versorgt</w:t>
                  </w:r>
                  <w:r>
                    <w:rPr>
                      <w:sz w:val="18"/>
                    </w:rPr>
                    <w:t xml:space="preserve"> …“</w:t>
                  </w:r>
                </w:p>
              </w:tc>
              <w:tc>
                <w:tcPr>
                  <w:tcW w:type="dxa" w:w="4649"/>
                  <w:tcBorders>
                    <w:top w:val="single" w:sz="4" w:space="0" w:color="D8CCB6"/>
                    <w:left w:val="single" w:sz="4" w:space="0" w:color="D8CCB6"/>
                    <w:bottom w:val="single" w:sz="4" w:space="0" w:color="D8CCB6"/>
                    <w:right w:val="single" w:sz="4" w:space="0" w:color="D8CCB6"/>
                  </w:tcBorders>
                </w:tcPr>
                <w:p>
                  <w:pPr>
                    <w:pStyle w:val="DDTabellentext"/>
                  </w:pPr>
                  <w:r>
                    <w:rPr>
                      <w:sz w:val="18"/>
                    </w:rPr>
                    <w:t xml:space="preserve">Beziehungstyp </w:t>
                  </w:r>
                  <w:r>
                    <w:rPr>
                      <w:i/>
                      <w:sz w:val="18"/>
                    </w:rPr>
                    <w:t>versorgt</w:t>
                  </w:r>
                  <w:r>
                    <w:rPr>
                      <w:sz w:val="18"/>
                    </w:rPr>
                    <w:t>, 1 an der Kante zu Pflegekraft</w:t>
                  </w:r>
                </w:p>
              </w:tc>
            </w:tr>
            <w:tr>
              <w:tc>
                <w:tcPr>
                  <w:tcW w:type="dxa" w:w="4762"/>
                  <w:tcBorders>
                    <w:top w:val="single" w:sz="4" w:space="0" w:color="D8CCB6"/>
                    <w:left w:val="single" w:sz="4" w:space="0" w:color="D8CCB6"/>
                    <w:bottom w:val="single" w:sz="4" w:space="0" w:color="D8CCB6"/>
                    <w:right w:val="single" w:sz="4" w:space="0" w:color="D8CCB6"/>
                  </w:tcBorders>
                </w:tcPr>
                <w:p>
                  <w:pPr>
                    <w:pStyle w:val="DDTabellentext"/>
                  </w:pPr>
                  <w:r>
                    <w:rPr>
                      <w:sz w:val="18"/>
                    </w:rPr>
                    <w:t>„… eine Pflegekraft versorgt mehrere Tiere.“</w:t>
                  </w:r>
                </w:p>
              </w:tc>
              <w:tc>
                <w:tcPr>
                  <w:tcW w:type="dxa" w:w="4649"/>
                  <w:tcBorders>
                    <w:top w:val="single" w:sz="4" w:space="0" w:color="D8CCB6"/>
                    <w:left w:val="single" w:sz="4" w:space="0" w:color="D8CCB6"/>
                    <w:bottom w:val="single" w:sz="4" w:space="0" w:color="D8CCB6"/>
                    <w:right w:val="single" w:sz="4" w:space="0" w:color="D8CCB6"/>
                  </w:tcBorders>
                </w:tcPr>
                <w:p>
                  <w:pPr>
                    <w:pStyle w:val="DDTabellentext"/>
                  </w:pPr>
                  <w:r>
                    <w:rPr>
                      <w:sz w:val="18"/>
                    </w:rPr>
                    <w:t>n an der Kante zu Tier</w:t>
                  </w:r>
                </w:p>
              </w:tc>
            </w:tr>
          </w:tbl>
          <w:p>
            <w:pPr>
              <w:pStyle w:val="DDAbstand"/>
            </w:pPr>
          </w:p>
        </w:tc>
      </w:tr>
    </w:tbl>
    <w:p>
      <w:pPr>
        <w:spacing w:after="0" w:line="160" w:lineRule="exact"/>
      </w:pPr>
    </w:p>
    <w:tbl>
      <w:tblPr>
        <w:tblLayout w:type="fixed"/>
        <w:tblLook w:firstColumn="1" w:firstRow="1" w:lastColumn="0" w:lastRow="0" w:noHBand="0" w:noVBand="1" w:val="04A0"/>
        <w:tblW w:w="9639" w:type="dxa"/>
      </w:tblPr>
      <w:tblGrid>
        <w:gridCol w:w="9639"/>
      </w:tblGrid>
      <w:tr>
        <w:tc>
          <w:tcPr>
            <w:tcW w:type="dxa" w:w="9638"/>
            <w:tcBorders>
              <w:top w:val="single" w:sz="8" w:space="0" w:color="B08D3C"/>
              <w:left w:val="single" w:sz="8" w:space="0" w:color="B08D3C"/>
              <w:bottom w:val="single" w:sz="8" w:space="0" w:color="B08D3C"/>
              <w:right w:val="single" w:sz="8" w:space="0" w:color="B08D3C"/>
            </w:tcBorders>
            <w:shd w:val="clear" w:color="auto" w:fill="FFFDF8"/>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7A5E1F"/>
                <w:sz w:val="15"/>
                <w:spacing w:val="16"/>
              </w:rPr>
              <w:t>BEWEISSTÜCK 2</w:t>
            </w:r>
            <w:r>
              <w:rPr>
                <w:rFonts w:ascii="Barlow Condensed SemiBold" w:hAnsi="Barlow Condensed SemiBold" w:eastAsia="Barlow Condensed SemiBold" w:cs="Barlow Condensed SemiBold"/>
                <w:color w:val="1C2B3A"/>
                <w:sz w:val="24"/>
              </w:rPr>
              <w:t xml:space="preserve">  Rekursive Beziehungen</w:t>
            </w:r>
          </w:p>
          <w:p>
            <w:pPr>
              <w:pStyle w:val="DDTabellentext"/>
              <w:spacing w:after="60"/>
            </w:pPr>
            <w:r>
              <w:t xml:space="preserve">Ein </w:t>
            </w:r>
            <w:r>
              <w:rPr>
                <w:b/>
              </w:rPr>
              <w:t>rekursiver</w:t>
            </w:r>
            <w:r>
              <w:t xml:space="preserve"> Beziehungstyp verbindet einen Entitätstyp </w:t>
            </w:r>
            <w:r>
              <w:rPr>
                <w:b/>
              </w:rPr>
              <w:t>mit sich selbst</w:t>
            </w:r>
            <w:r>
              <w:t xml:space="preserve">: zwei Kanten zum selben Rechteck, die </w:t>
            </w:r>
            <w:r>
              <w:rPr>
                <w:b/>
              </w:rPr>
              <w:t>Rollen</w:t>
            </w:r>
            <w:r>
              <w:t xml:space="preserve"> stehen an den Kanten. Für „Mentor“ entsteht </w:t>
            </w:r>
            <w:r>
              <w:rPr>
                <w:b/>
              </w:rPr>
              <w:t>kein</w:t>
            </w:r>
            <w:r>
              <w:t xml:space="preserve"> neuer Entitätstyp – Mentor und Neuling sind beide Ermittler.</w:t>
            </w:r>
          </w:p>
          <w:p>
            <w:r>
              <w:drawing>
                <wp:inline xmlns:a="http://schemas.openxmlformats.org/drawingml/2006/main" xmlns:pic="http://schemas.openxmlformats.org/drawingml/2006/picture">
                  <wp:extent cx="3420000" cy="1921561"/>
                  <wp:docPr id="2" name="Picture 2"/>
                  <wp:cNvGraphicFramePr>
                    <a:graphicFrameLocks noChangeAspect="1"/>
                  </wp:cNvGraphicFramePr>
                  <a:graphic>
                    <a:graphicData uri="http://schemas.openxmlformats.org/drawingml/2006/picture">
                      <pic:pic>
                        <pic:nvPicPr>
                          <pic:cNvPr id="0" name="bs2.png"/>
                          <pic:cNvPicPr/>
                        </pic:nvPicPr>
                        <pic:blipFill>
                          <a:blip r:embed="rId12"/>
                          <a:stretch>
                            <a:fillRect/>
                          </a:stretch>
                        </pic:blipFill>
                        <pic:spPr>
                          <a:xfrm>
                            <a:off x="0" y="0"/>
                            <a:ext cx="3420000" cy="1921561"/>
                          </a:xfrm>
                          <a:prstGeom prst="rect"/>
                        </pic:spPr>
                      </pic:pic>
                    </a:graphicData>
                  </a:graphic>
                </wp:inline>
              </w:drawing>
            </w:r>
          </w:p>
          <w:tbl>
            <w:tblPr>
              <w:tblStyle w:val="Datentabelle"/>
              <w:jc w:val="left"/>
              <w:tblLayout w:type="fixed"/>
              <w:tblLook w:firstColumn="1" w:firstRow="1" w:lastColumn="0" w:lastRow="0" w:noHBand="0" w:noVBand="1" w:val="04A0"/>
              <w:tblW w:w="9412" w:type="dxa"/>
            </w:tblPr>
            <w:tblGrid>
              <w:gridCol w:w="2041"/>
              <w:gridCol w:w="7371"/>
            </w:tblGrid>
            <w:tr>
              <w:trPr>
                <w:tblHeader/>
              </w:trPr>
              <w:tc>
                <w:tcPr>
                  <w:tcW w:type="dxa" w:w="2041"/>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Beziehungstyp</w:t>
                  </w:r>
                </w:p>
              </w:tc>
              <w:tc>
                <w:tcPr>
                  <w:tcW w:type="dxa" w:w="7370"/>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Leseschablone</w:t>
                  </w:r>
                </w:p>
              </w:tc>
            </w:tr>
            <w:tr>
              <w:tc>
                <w:tcPr>
                  <w:tcW w:type="dxa" w:w="2041"/>
                  <w:tcBorders>
                    <w:top w:val="single" w:sz="4" w:space="0" w:color="D8CCB6"/>
                    <w:left w:val="single" w:sz="4" w:space="0" w:color="D8CCB6"/>
                    <w:bottom w:val="single" w:sz="4" w:space="0" w:color="D8CCB6"/>
                    <w:right w:val="single" w:sz="4" w:space="0" w:color="D8CCB6"/>
                  </w:tcBorders>
                </w:tcPr>
                <w:p>
                  <w:pPr>
                    <w:pStyle w:val="DDTabellentext"/>
                  </w:pPr>
                  <w:r>
                    <w:rPr>
                      <w:i/>
                      <w:sz w:val="18"/>
                    </w:rPr>
                    <w:t>betreut</w:t>
                  </w:r>
                  <w:r>
                    <w:rPr>
                      <w:sz w:val="18"/>
                    </w:rPr>
                    <w:t xml:space="preserve"> (1:n)</w:t>
                  </w:r>
                </w:p>
              </w:tc>
              <w:tc>
                <w:tcPr>
                  <w:tcW w:type="dxa" w:w="7370"/>
                  <w:tcBorders>
                    <w:top w:val="single" w:sz="4" w:space="0" w:color="D8CCB6"/>
                    <w:left w:val="single" w:sz="4" w:space="0" w:color="D8CCB6"/>
                    <w:bottom w:val="single" w:sz="4" w:space="0" w:color="D8CCB6"/>
                    <w:right w:val="single" w:sz="4" w:space="0" w:color="D8CCB6"/>
                  </w:tcBorders>
                </w:tcPr>
                <w:p>
                  <w:pPr>
                    <w:pStyle w:val="DDTabellentext"/>
                  </w:pPr>
                  <w:r>
                    <w:rPr>
                      <w:sz w:val="18"/>
                    </w:rPr>
                    <w:t>Ein Ermittler kann als Mentor mehrere Neulinge betreuen; jeder Neuling hat höchstens einen Mentor.</w:t>
                  </w:r>
                </w:p>
              </w:tc>
            </w:tr>
            <w:tr>
              <w:tc>
                <w:tcPr>
                  <w:tcW w:type="dxa" w:w="2041"/>
                  <w:tcBorders>
                    <w:top w:val="single" w:sz="4" w:space="0" w:color="D8CCB6"/>
                    <w:left w:val="single" w:sz="4" w:space="0" w:color="D8CCB6"/>
                    <w:bottom w:val="single" w:sz="4" w:space="0" w:color="D8CCB6"/>
                    <w:right w:val="single" w:sz="4" w:space="0" w:color="D8CCB6"/>
                  </w:tcBorders>
                </w:tcPr>
                <w:p>
                  <w:pPr>
                    <w:pStyle w:val="DDTabellentext"/>
                  </w:pPr>
                  <w:r>
                    <w:rPr>
                      <w:i/>
                      <w:sz w:val="18"/>
                    </w:rPr>
                    <w:t>kennt</w:t>
                  </w:r>
                  <w:r>
                    <w:rPr>
                      <w:sz w:val="18"/>
                    </w:rPr>
                    <w:t xml:space="preserve"> (n:m)</w:t>
                  </w:r>
                </w:p>
              </w:tc>
              <w:tc>
                <w:tcPr>
                  <w:tcW w:type="dxa" w:w="7370"/>
                  <w:tcBorders>
                    <w:top w:val="single" w:sz="4" w:space="0" w:color="D8CCB6"/>
                    <w:left w:val="single" w:sz="4" w:space="0" w:color="D8CCB6"/>
                    <w:bottom w:val="single" w:sz="4" w:space="0" w:color="D8CCB6"/>
                    <w:right w:val="single" w:sz="4" w:space="0" w:color="D8CCB6"/>
                  </w:tcBorders>
                </w:tcPr>
                <w:p>
                  <w:pPr>
                    <w:pStyle w:val="DDTabellentext"/>
                  </w:pPr>
                  <w:r>
                    <w:rPr>
                      <w:sz w:val="18"/>
                    </w:rPr>
                    <w:t>Eine Person kann mehrere Personen kennen und von mehreren gekannt werden. Seit hängt vom Paar ab → Attribut an der Raute.</w:t>
                  </w:r>
                </w:p>
              </w:tc>
            </w:tr>
          </w:tbl>
          <w:p>
            <w:pPr>
              <w:pStyle w:val="DDAbstand"/>
            </w:pPr>
          </w:p>
        </w:tc>
      </w:tr>
    </w:tbl>
    <w:p>
      <w:pPr>
        <w:spacing w:after="0" w:line="160" w:lineRule="exact"/>
      </w:pPr>
    </w:p>
    <w:tbl>
      <w:tblPr>
        <w:tblLayout w:type="fixed"/>
        <w:tblLook w:firstColumn="1" w:firstRow="1" w:lastColumn="0" w:lastRow="0" w:noHBand="0" w:noVBand="1" w:val="04A0"/>
        <w:tblW w:w="9639" w:type="dxa"/>
      </w:tblPr>
      <w:tblGrid>
        <w:gridCol w:w="9639"/>
      </w:tblGrid>
      <w:tr>
        <w:tc>
          <w:tcPr>
            <w:tcW w:type="dxa" w:w="9638"/>
            <w:tcBorders>
              <w:top w:val="single" w:sz="8" w:space="0" w:color="B08D3C"/>
              <w:left w:val="single" w:sz="8" w:space="0" w:color="B08D3C"/>
              <w:bottom w:val="single" w:sz="8" w:space="0" w:color="B08D3C"/>
              <w:right w:val="single" w:sz="8" w:space="0" w:color="B08D3C"/>
            </w:tcBorders>
            <w:shd w:val="clear" w:color="auto" w:fill="FFFDF8"/>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7A5E1F"/>
                <w:sz w:val="15"/>
                <w:spacing w:val="16"/>
              </w:rPr>
              <w:t>BEWEISSTÜCK 3</w:t>
            </w:r>
            <w:r>
              <w:rPr>
                <w:rFonts w:ascii="Barlow Condensed SemiBold" w:hAnsi="Barlow Condensed SemiBold" w:eastAsia="Barlow Condensed SemiBold" w:cs="Barlow Condensed SemiBold"/>
                <w:color w:val="1C2B3A"/>
                <w:sz w:val="24"/>
              </w:rPr>
              <w:t xml:space="preserve">  Mehrere Beziehungstypen zwischen denselben Entitätstypen</w:t>
            </w:r>
          </w:p>
          <w:p>
            <w:pPr>
              <w:pStyle w:val="DDTabellentext"/>
              <w:spacing w:after="60"/>
            </w:pPr>
            <w:r>
              <w:t xml:space="preserve">Spielen zwei Entitäten in </w:t>
            </w:r>
            <w:r>
              <w:rPr>
                <w:b/>
              </w:rPr>
              <w:t>verschiedenen Rollen</w:t>
            </w:r>
            <w:r>
              <w:t xml:space="preserve"> zusammen, braucht jede Rolle einen eigenen Beziehungstyp: Ein Spiel hat ein Heim- </w:t>
            </w:r>
            <w:r>
              <w:rPr>
                <w:b/>
              </w:rPr>
              <w:t>und</w:t>
            </w:r>
            <w:r>
              <w:t xml:space="preserve"> ein Gastteam.</w:t>
            </w:r>
          </w:p>
          <w:p>
            <w:pPr>
              <w:jc w:val="center"/>
            </w:pPr>
            <w:r>
              <w:drawing>
                <wp:inline xmlns:a="http://schemas.openxmlformats.org/drawingml/2006/main" xmlns:pic="http://schemas.openxmlformats.org/drawingml/2006/picture">
                  <wp:extent cx="2880000" cy="1227101"/>
                  <wp:docPr id="3" name="Picture 3"/>
                  <wp:cNvGraphicFramePr>
                    <a:graphicFrameLocks noChangeAspect="1"/>
                  </wp:cNvGraphicFramePr>
                  <a:graphic>
                    <a:graphicData uri="http://schemas.openxmlformats.org/drawingml/2006/picture">
                      <pic:pic>
                        <pic:nvPicPr>
                          <pic:cNvPr id="0" name="er_140340856461072.png"/>
                          <pic:cNvPicPr/>
                        </pic:nvPicPr>
                        <pic:blipFill>
                          <a:blip r:embed="rId13"/>
                          <a:stretch>
                            <a:fillRect/>
                          </a:stretch>
                        </pic:blipFill>
                        <pic:spPr>
                          <a:xfrm>
                            <a:off x="0" y="0"/>
                            <a:ext cx="2880000" cy="1227101"/>
                          </a:xfrm>
                          <a:prstGeom prst="rect"/>
                        </pic:spPr>
                      </pic:pic>
                    </a:graphicData>
                  </a:graphic>
                </wp:inline>
              </w:drawing>
            </w:r>
          </w:p>
          <w:p>
            <w:pPr>
              <w:pStyle w:val="DDTabellentext"/>
              <w:spacing w:after="60"/>
            </w:pPr>
            <w:r>
              <w:t xml:space="preserve">Genauso in der Detektei: Eine Person kann einen Fall </w:t>
            </w:r>
            <w:r>
              <w:rPr>
                <w:i/>
              </w:rPr>
              <w:t>melden</w:t>
            </w:r>
            <w:r>
              <w:t xml:space="preserve"> und in einem (anderen) Fall </w:t>
            </w:r>
            <w:r>
              <w:rPr>
                <w:i/>
              </w:rPr>
              <w:t>verdaechtig</w:t>
            </w:r>
            <w:r>
              <w:t xml:space="preserve"> sein – zwei Rauten zwischen Person und Fall.</w:t>
            </w:r>
          </w:p>
        </w:tc>
      </w:tr>
    </w:tbl>
    <w:p>
      <w:pPr>
        <w:spacing w:after="0" w:line="160" w:lineRule="exact"/>
      </w:pPr>
    </w:p>
    <w:tbl>
      <w:tblPr>
        <w:tblLayout w:type="fixed"/>
        <w:tblLook w:firstColumn="1" w:firstRow="1" w:lastColumn="0" w:lastRow="0" w:noHBand="0" w:noVBand="1" w:val="04A0"/>
        <w:tblW w:w="9639" w:type="dxa"/>
      </w:tblPr>
      <w:tblGrid>
        <w:gridCol w:w="9639"/>
      </w:tblGrid>
      <w:tr>
        <w:tc>
          <w:tcPr>
            <w:tcW w:type="dxa" w:w="9638"/>
            <w:tcBorders>
              <w:top w:val="single" w:sz="8" w:space="0" w:color="B08D3C"/>
              <w:left w:val="single" w:sz="8" w:space="0" w:color="B08D3C"/>
              <w:bottom w:val="single" w:sz="8" w:space="0" w:color="B08D3C"/>
              <w:right w:val="single" w:sz="8" w:space="0" w:color="B08D3C"/>
            </w:tcBorders>
            <w:shd w:val="clear" w:color="auto" w:fill="FFFDF8"/>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7A5E1F"/>
                <w:sz w:val="15"/>
                <w:spacing w:val="16"/>
              </w:rPr>
              <w:t>BEWEISSTÜCK 4</w:t>
            </w:r>
            <w:r>
              <w:rPr>
                <w:rFonts w:ascii="Barlow Condensed SemiBold" w:hAnsi="Barlow Condensed SemiBold" w:eastAsia="Barlow Condensed SemiBold" w:cs="Barlow Condensed SemiBold"/>
                <w:color w:val="1C2B3A"/>
                <w:sz w:val="24"/>
              </w:rPr>
              <w:t xml:space="preserve">  Ternäre Beziehung m:n:p</w:t>
            </w:r>
          </w:p>
          <w:p>
            <w:pPr>
              <w:pStyle w:val="DDTabellentext"/>
              <w:spacing w:after="60"/>
            </w:pPr>
            <w:r>
              <w:t xml:space="preserve">Eine Raute, </w:t>
            </w:r>
            <w:r>
              <w:rPr>
                <w:b/>
              </w:rPr>
              <w:t>drei</w:t>
            </w:r>
            <w:r>
              <w:t xml:space="preserve"> Kanten: </w:t>
            </w:r>
            <w:r>
              <w:rPr>
                <w:i/>
              </w:rPr>
              <w:t>sagtAus</w:t>
            </w:r>
            <w:r>
              <w:t xml:space="preserve"> hält fest, </w:t>
            </w:r>
            <w:r>
              <w:rPr>
                <w:b/>
              </w:rPr>
              <w:t>wer</w:t>
            </w:r>
            <w:r>
              <w:t xml:space="preserve"> in </w:t>
            </w:r>
            <w:r>
              <w:rPr>
                <w:b/>
              </w:rPr>
              <w:t>welchem Fall</w:t>
            </w:r>
            <w:r>
              <w:t xml:space="preserve"> an </w:t>
            </w:r>
            <w:r>
              <w:rPr>
                <w:b/>
              </w:rPr>
              <w:t>welchem Ort</w:t>
            </w:r>
            <w:r>
              <w:t xml:space="preserve"> ausgesagt hat. Zeitpunkt und Inhalt hängen vom Trio ab.</w:t>
            </w:r>
          </w:p>
          <w:p>
            <w:pPr>
              <w:jc w:val="center"/>
            </w:pPr>
            <w:r>
              <w:drawing>
                <wp:inline xmlns:a="http://schemas.openxmlformats.org/drawingml/2006/main" xmlns:pic="http://schemas.openxmlformats.org/drawingml/2006/picture">
                  <wp:extent cx="2880000" cy="2005393"/>
                  <wp:docPr id="4" name="Picture 4"/>
                  <wp:cNvGraphicFramePr>
                    <a:graphicFrameLocks noChangeAspect="1"/>
                  </wp:cNvGraphicFramePr>
                  <a:graphic>
                    <a:graphicData uri="http://schemas.openxmlformats.org/drawingml/2006/picture">
                      <pic:pic>
                        <pic:nvPicPr>
                          <pic:cNvPr id="0" name="er_140340856070992.png"/>
                          <pic:cNvPicPr/>
                        </pic:nvPicPr>
                        <pic:blipFill>
                          <a:blip r:embed="rId14"/>
                          <a:stretch>
                            <a:fillRect/>
                          </a:stretch>
                        </pic:blipFill>
                        <pic:spPr>
                          <a:xfrm>
                            <a:off x="0" y="0"/>
                            <a:ext cx="2880000" cy="2005393"/>
                          </a:xfrm>
                          <a:prstGeom prst="rect"/>
                        </pic:spPr>
                      </pic:pic>
                    </a:graphicData>
                  </a:graphic>
                </wp:inline>
              </w:drawing>
            </w:r>
          </w:p>
          <w:p>
            <w:pPr>
              <w:pStyle w:val="DDTabellentext"/>
              <w:spacing w:after="60"/>
            </w:pPr>
            <w:r>
              <w:t>Drei binäre Beziehungen (Person–Fall, Fall–Ort, Person–Ort) reichen nicht: Sagt eine Person in zwei Fällen an zwei Orten aus, lässt sich daraus nicht mehr ablesen, wo sie zu welchem Fall ausgesagt hat.</w:t>
            </w:r>
          </w:p>
        </w:tc>
      </w:tr>
    </w:tbl>
    <w:p>
      <w:pPr>
        <w:spacing w:after="0" w:line="160" w:lineRule="exact"/>
      </w:pPr>
    </w:p>
    <w:tbl>
      <w:tblPr>
        <w:tblLayout w:type="fixed"/>
        <w:tblLook w:firstColumn="1" w:firstRow="1" w:lastColumn="0" w:lastRow="0" w:noHBand="0" w:noVBand="1" w:val="04A0"/>
        <w:tblW w:w="9639" w:type="dxa"/>
      </w:tblPr>
      <w:tblGrid>
        <w:gridCol w:w="9639"/>
      </w:tblGrid>
      <w:tr>
        <w:tc>
          <w:tcPr>
            <w:tcW w:type="dxa" w:w="9638"/>
            <w:tcBorders>
              <w:top w:val="single" w:sz="8" w:space="0" w:color="B08D3C"/>
              <w:left w:val="single" w:sz="8" w:space="0" w:color="B08D3C"/>
              <w:bottom w:val="single" w:sz="8" w:space="0" w:color="B08D3C"/>
              <w:right w:val="single" w:sz="8" w:space="0" w:color="B08D3C"/>
            </w:tcBorders>
            <w:shd w:val="clear" w:color="auto" w:fill="FFFDF8"/>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7A5E1F"/>
                <w:sz w:val="15"/>
                <w:spacing w:val="16"/>
              </w:rPr>
              <w:t>BEWEISSTÜCK 5</w:t>
            </w:r>
            <w:r>
              <w:rPr>
                <w:rFonts w:ascii="Barlow Condensed SemiBold" w:hAnsi="Barlow Condensed SemiBold" w:eastAsia="Barlow Condensed SemiBold" w:cs="Barlow Condensed SemiBold"/>
                <w:color w:val="1C2B3A"/>
                <w:sz w:val="24"/>
              </w:rPr>
              <w:t xml:space="preserve">  Grenzen der Notation und Beurteilen</w:t>
            </w:r>
          </w:p>
          <w:tbl>
            <w:tblPr>
              <w:tblStyle w:val="Datentabelle"/>
              <w:jc w:val="left"/>
              <w:tblLayout w:type="fixed"/>
              <w:tblLook w:firstColumn="1" w:firstRow="1" w:lastColumn="0" w:lastRow="0" w:noHBand="0" w:noVBand="1" w:val="04A0"/>
              <w:tblW w:w="9412" w:type="dxa"/>
            </w:tblPr>
            <w:tblGrid>
              <w:gridCol w:w="6237"/>
              <w:gridCol w:w="3175"/>
            </w:tblGrid>
            <w:tr>
              <w:trPr>
                <w:tblHeader/>
              </w:trPr>
              <w:tc>
                <w:tcPr>
                  <w:tcW w:type="dxa" w:w="6236"/>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Anforderung</w:t>
                  </w:r>
                </w:p>
              </w:tc>
              <w:tc>
                <w:tcPr>
                  <w:tcW w:type="dxa" w:w="3175"/>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mit 1/n/m?</w:t>
                  </w:r>
                </w:p>
              </w:tc>
            </w:tr>
            <w:tr>
              <w:tc>
                <w:tcPr>
                  <w:tcW w:type="dxa" w:w="6236"/>
                  <w:tcBorders>
                    <w:top w:val="single" w:sz="4" w:space="0" w:color="D8CCB6"/>
                    <w:left w:val="single" w:sz="4" w:space="0" w:color="D8CCB6"/>
                    <w:bottom w:val="single" w:sz="4" w:space="0" w:color="D8CCB6"/>
                    <w:right w:val="single" w:sz="4" w:space="0" w:color="D8CCB6"/>
                  </w:tcBorders>
                </w:tcPr>
                <w:p>
                  <w:pPr>
                    <w:pStyle w:val="DDTabellentext"/>
                  </w:pPr>
                  <w:r>
                    <w:rPr>
                      <w:sz w:val="18"/>
                    </w:rPr>
                    <w:t xml:space="preserve">„Jeder Fall hat </w:t>
                  </w:r>
                  <w:r>
                    <w:rPr>
                      <w:b/>
                      <w:sz w:val="18"/>
                    </w:rPr>
                    <w:t>genau eine</w:t>
                  </w:r>
                  <w:r>
                    <w:rPr>
                      <w:sz w:val="18"/>
                    </w:rPr>
                    <w:t xml:space="preserve"> Leitung.“</w:t>
                  </w:r>
                </w:p>
              </w:tc>
              <w:tc>
                <w:tcPr>
                  <w:tcW w:type="dxa" w:w="3175"/>
                  <w:tcBorders>
                    <w:top w:val="single" w:sz="4" w:space="0" w:color="D8CCB6"/>
                    <w:left w:val="single" w:sz="4" w:space="0" w:color="D8CCB6"/>
                    <w:bottom w:val="single" w:sz="4" w:space="0" w:color="D8CCB6"/>
                    <w:right w:val="single" w:sz="4" w:space="0" w:color="D8CCB6"/>
                  </w:tcBorders>
                </w:tcPr>
                <w:p>
                  <w:pPr>
                    <w:pStyle w:val="DDTabellentext"/>
                  </w:pPr>
                  <w:r>
                    <w:rPr>
                      <w:sz w:val="18"/>
                    </w:rPr>
                    <w:t>ja – die 1 an der Kante</w:t>
                  </w:r>
                </w:p>
              </w:tc>
            </w:tr>
            <w:tr>
              <w:tc>
                <w:tcPr>
                  <w:tcW w:type="dxa" w:w="6236"/>
                  <w:tcBorders>
                    <w:top w:val="single" w:sz="4" w:space="0" w:color="D8CCB6"/>
                    <w:left w:val="single" w:sz="4" w:space="0" w:color="D8CCB6"/>
                    <w:bottom w:val="single" w:sz="4" w:space="0" w:color="D8CCB6"/>
                    <w:right w:val="single" w:sz="4" w:space="0" w:color="D8CCB6"/>
                  </w:tcBorders>
                </w:tcPr>
                <w:p>
                  <w:pPr>
                    <w:pStyle w:val="DDTabellentext"/>
                  </w:pPr>
                  <w:r>
                    <w:rPr>
                      <w:sz w:val="18"/>
                    </w:rPr>
                    <w:t xml:space="preserve">„Eine Person kann in </w:t>
                  </w:r>
                  <w:r>
                    <w:rPr>
                      <w:b/>
                      <w:sz w:val="18"/>
                    </w:rPr>
                    <w:t>beliebig vielen</w:t>
                  </w:r>
                  <w:r>
                    <w:rPr>
                      <w:sz w:val="18"/>
                    </w:rPr>
                    <w:t xml:space="preserve"> Fällen verdächtig sein.“</w:t>
                  </w:r>
                </w:p>
              </w:tc>
              <w:tc>
                <w:tcPr>
                  <w:tcW w:type="dxa" w:w="3175"/>
                  <w:tcBorders>
                    <w:top w:val="single" w:sz="4" w:space="0" w:color="D8CCB6"/>
                    <w:left w:val="single" w:sz="4" w:space="0" w:color="D8CCB6"/>
                    <w:bottom w:val="single" w:sz="4" w:space="0" w:color="D8CCB6"/>
                    <w:right w:val="single" w:sz="4" w:space="0" w:color="D8CCB6"/>
                  </w:tcBorders>
                </w:tcPr>
                <w:p>
                  <w:pPr>
                    <w:pStyle w:val="DDTabellentext"/>
                  </w:pPr>
                  <w:r>
                    <w:rPr>
                      <w:sz w:val="18"/>
                    </w:rPr>
                    <w:t>ja – n bzw. m</w:t>
                  </w:r>
                </w:p>
              </w:tc>
            </w:tr>
            <w:tr>
              <w:tc>
                <w:tcPr>
                  <w:tcW w:type="dxa" w:w="6236"/>
                  <w:tcBorders>
                    <w:top w:val="single" w:sz="4" w:space="0" w:color="D8CCB6"/>
                    <w:left w:val="single" w:sz="4" w:space="0" w:color="D8CCB6"/>
                    <w:bottom w:val="single" w:sz="4" w:space="0" w:color="D8CCB6"/>
                    <w:right w:val="single" w:sz="4" w:space="0" w:color="D8CCB6"/>
                  </w:tcBorders>
                </w:tcPr>
                <w:p>
                  <w:pPr>
                    <w:pStyle w:val="DDTabellentext"/>
                  </w:pPr>
                  <w:r>
                    <w:rPr>
                      <w:sz w:val="18"/>
                    </w:rPr>
                    <w:t xml:space="preserve">„Jedes Team hat </w:t>
                  </w:r>
                  <w:r>
                    <w:rPr>
                      <w:b/>
                      <w:sz w:val="18"/>
                    </w:rPr>
                    <w:t>genau drei</w:t>
                  </w:r>
                  <w:r>
                    <w:rPr>
                      <w:sz w:val="18"/>
                    </w:rPr>
                    <w:t xml:space="preserve"> Ermittler.“</w:t>
                  </w:r>
                </w:p>
              </w:tc>
              <w:tc>
                <w:tcPr>
                  <w:tcW w:type="dxa" w:w="3175"/>
                  <w:tcBorders>
                    <w:top w:val="single" w:sz="4" w:space="0" w:color="D8CCB6"/>
                    <w:left w:val="single" w:sz="4" w:space="0" w:color="D8CCB6"/>
                    <w:bottom w:val="single" w:sz="4" w:space="0" w:color="D8CCB6"/>
                    <w:right w:val="single" w:sz="4" w:space="0" w:color="D8CCB6"/>
                  </w:tcBorders>
                </w:tcPr>
                <w:p>
                  <w:pPr>
                    <w:pStyle w:val="DDTabellentext"/>
                  </w:pPr>
                  <w:r>
                    <w:rPr>
                      <w:sz w:val="18"/>
                    </w:rPr>
                    <w:t>nein – Anmerkung zum Modell</w:t>
                  </w:r>
                </w:p>
              </w:tc>
            </w:tr>
            <w:tr>
              <w:tc>
                <w:tcPr>
                  <w:tcW w:type="dxa" w:w="6236"/>
                  <w:tcBorders>
                    <w:top w:val="single" w:sz="4" w:space="0" w:color="D8CCB6"/>
                    <w:left w:val="single" w:sz="4" w:space="0" w:color="D8CCB6"/>
                    <w:bottom w:val="single" w:sz="4" w:space="0" w:color="D8CCB6"/>
                    <w:right w:val="single" w:sz="4" w:space="0" w:color="D8CCB6"/>
                  </w:tcBorders>
                </w:tcPr>
                <w:p>
                  <w:pPr>
                    <w:pStyle w:val="DDTabellentext"/>
                  </w:pPr>
                  <w:r>
                    <w:rPr>
                      <w:sz w:val="18"/>
                    </w:rPr>
                    <w:t xml:space="preserve">„Ein Mentor muss einen </w:t>
                  </w:r>
                  <w:r>
                    <w:rPr>
                      <w:b/>
                      <w:sz w:val="18"/>
                    </w:rPr>
                    <w:t>höheren Dienstgrad</w:t>
                  </w:r>
                  <w:r>
                    <w:rPr>
                      <w:sz w:val="18"/>
                    </w:rPr>
                    <w:t xml:space="preserve"> haben.“</w:t>
                  </w:r>
                </w:p>
              </w:tc>
              <w:tc>
                <w:tcPr>
                  <w:tcW w:type="dxa" w:w="3175"/>
                  <w:tcBorders>
                    <w:top w:val="single" w:sz="4" w:space="0" w:color="D8CCB6"/>
                    <w:left w:val="single" w:sz="4" w:space="0" w:color="D8CCB6"/>
                    <w:bottom w:val="single" w:sz="4" w:space="0" w:color="D8CCB6"/>
                    <w:right w:val="single" w:sz="4" w:space="0" w:color="D8CCB6"/>
                  </w:tcBorders>
                </w:tcPr>
                <w:p>
                  <w:pPr>
                    <w:pStyle w:val="DDTabellentext"/>
                  </w:pPr>
                  <w:r>
                    <w:rPr>
                      <w:sz w:val="18"/>
                    </w:rPr>
                    <w:t>nein – Anmerkung zum Modell</w:t>
                  </w:r>
                </w:p>
              </w:tc>
            </w:tr>
          </w:tbl>
          <w:p>
            <w:pPr>
              <w:pStyle w:val="DDAbstand"/>
            </w:pPr>
          </w:p>
          <w:p>
            <w:pPr>
              <w:pStyle w:val="DDTabellentext"/>
              <w:spacing w:after="60"/>
            </w:pPr>
            <w:r>
              <w:rPr>
                <w:b/>
              </w:rPr>
              <w:t>Beurteilen</w:t>
            </w:r>
            <w:r>
              <w:t xml:space="preserve"> heißt: Alternativen benennen (z. B. Ort als Attribut oder als eigener Entitätstyp), ihre Folgen abwägen (Redundanz, Auswertbarkeit, Vollständigkeit) und ein begründetes Urteil fällen.</w:t>
            </w:r>
          </w:p>
        </w:tc>
      </w:tr>
    </w:tbl>
    <w:p>
      <w:pPr>
        <w:spacing w:after="0" w:line="160" w:lineRule="exact"/>
      </w:pPr>
    </w:p>
    <w:p>
      <w:pPr>
        <w:pStyle w:val="Heading2"/>
      </w:pPr>
      <w:r>
        <w:t>Ermittlungsaufträge</w:t>
      </w:r>
    </w:p>
    <w:tbl>
      <w:tblPr>
        <w:tblLayout w:type="fixed"/>
        <w:tblLook w:firstColumn="1" w:firstRow="1" w:lastColumn="0" w:lastRow="0" w:noHBand="0" w:noVBand="1" w:val="04A0"/>
        <w:tblW w:w="9639" w:type="dxa"/>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567"/>
        <w:gridCol w:w="963"/>
        <w:gridCol w:w="963"/>
        <w:gridCol w:w="7144"/>
      </w:tblGrid>
      <w:tr>
        <w:trPr>
          <w:tblHeader/>
        </w:trPr>
        <w:tc>
          <w:tcPr>
            <w:tcW w:type="dxa" w:w="567"/>
            <w:shd w:val="clear" w:color="auto" w:fill="EBE2D2"/>
          </w:tcPr>
          <w:p>
            <w:pPr>
              <w:pStyle w:val="DDTabellentext"/>
            </w:pPr>
            <w:r>
              <w:rPr>
                <w:rFonts w:ascii="IBM Plex Mono" w:hAnsi="IBM Plex Mono" w:eastAsia="IBM Plex Mono" w:cs="IBM Plex Mono"/>
                <w:b/>
                <w:color w:val="46525E"/>
                <w:sz w:val="15"/>
                <w:spacing w:val="16"/>
              </w:rPr>
              <w:t>NR.</w:t>
            </w:r>
          </w:p>
        </w:tc>
        <w:tc>
          <w:tcPr>
            <w:tcW w:type="dxa" w:w="964"/>
            <w:shd w:val="clear" w:color="auto" w:fill="EBE2D2"/>
          </w:tcPr>
          <w:p>
            <w:pPr>
              <w:pStyle w:val="DDTabellentext"/>
            </w:pPr>
            <w:r>
              <w:rPr>
                <w:rFonts w:ascii="IBM Plex Mono" w:hAnsi="IBM Plex Mono" w:eastAsia="IBM Plex Mono" w:cs="IBM Plex Mono"/>
                <w:b/>
                <w:color w:val="46525E"/>
                <w:sz w:val="15"/>
                <w:spacing w:val="16"/>
              </w:rPr>
              <w:t>STUFE</w:t>
            </w:r>
          </w:p>
        </w:tc>
        <w:tc>
          <w:tcPr>
            <w:tcW w:type="dxa" w:w="964"/>
            <w:shd w:val="clear" w:color="auto" w:fill="EBE2D2"/>
          </w:tcPr>
          <w:p>
            <w:pPr>
              <w:pStyle w:val="DDTabellentext"/>
            </w:pPr>
            <w:r>
              <w:rPr>
                <w:rFonts w:ascii="IBM Plex Mono" w:hAnsi="IBM Plex Mono" w:eastAsia="IBM Plex Mono" w:cs="IBM Plex Mono"/>
                <w:b/>
                <w:color w:val="46525E"/>
                <w:sz w:val="15"/>
                <w:spacing w:val="16"/>
              </w:rPr>
              <w:t>ORT</w:t>
            </w:r>
          </w:p>
        </w:tc>
        <w:tc>
          <w:tcPr>
            <w:tcW w:type="dxa" w:w="7144"/>
            <w:shd w:val="clear" w:color="auto" w:fill="EBE2D2"/>
          </w:tcPr>
          <w:p>
            <w:pPr>
              <w:pStyle w:val="DDTabellentext"/>
            </w:pPr>
            <w:r>
              <w:rPr>
                <w:rFonts w:ascii="IBM Plex Mono" w:hAnsi="IBM Plex Mono" w:eastAsia="IBM Plex Mono" w:cs="IBM Plex Mono"/>
                <w:b/>
                <w:color w:val="46525E"/>
                <w:sz w:val="15"/>
                <w:spacing w:val="16"/>
              </w:rPr>
              <w:t>AUFTRAG</w:t>
            </w:r>
          </w:p>
        </w:tc>
      </w:tr>
      <w:tr>
        <w:tc>
          <w:tcPr>
            <w:tcW w:type="dxa" w:w="567"/>
            <w:tcBorders>
              <w:bottom w:val="single" w:sz="4" w:space="0" w:color="D8CCB6"/>
            </w:tcBorders>
            <w:tcMar>
              <w:top w:w="68" w:type="dxa"/>
              <w:left w:w="85" w:type="dxa"/>
              <w:bottom w:w="68" w:type="dxa"/>
              <w:right w:w="85" w:type="dxa"/>
            </w:tcMar>
          </w:tcPr>
          <w:p>
            <w:pPr>
              <w:pStyle w:val="DDTabellentext"/>
            </w:pPr>
            <w:r>
              <w:rPr>
                <w:rFonts w:ascii="Barlow Condensed SemiBold" w:hAnsi="Barlow Condensed SemiBold" w:eastAsia="Barlow Condensed SemiBold" w:cs="Barlow Condensed SemiBold"/>
                <w:sz w:val="30"/>
              </w:rPr>
              <w:t>1</w:t>
            </w:r>
          </w:p>
        </w:tc>
        <w:tc>
          <w:tcPr>
            <w:tcW w:type="dxa" w:w="964"/>
            <w:tcBorders>
              <w:bottom w:val="single" w:sz="4" w:space="0" w:color="D8CCB6"/>
            </w:tcBorders>
            <w:tcMar>
              <w:top w:w="68" w:type="dxa"/>
              <w:left w:w="85" w:type="dxa"/>
              <w:bottom w:w="68" w:type="dxa"/>
              <w:right w:w="85" w:type="dxa"/>
            </w:tcMar>
          </w:tcPr>
          <w:p>
            <w:pPr>
              <w:pStyle w:val="DDTabellentext"/>
            </w:pPr>
            <w:r>
              <w:rPr>
                <w:rFonts w:ascii="Segoe UI Symbol" w:hAnsi="Segoe UI Symbol" w:eastAsia="Segoe UI Symbol" w:cs="Segoe UI Symbol"/>
                <w:color w:val="94742B"/>
                <w:sz w:val="20"/>
              </w:rPr>
              <w:t>★</w:t>
            </w:r>
            <w:r>
              <w:rPr>
                <w:rFonts w:ascii="Segoe UI Symbol" w:hAnsi="Segoe UI Symbol" w:eastAsia="Segoe UI Symbol" w:cs="Segoe UI Symbol"/>
                <w:color w:val="8F8270"/>
                <w:sz w:val="20"/>
              </w:rPr>
              <w:t>☆☆</w:t>
            </w:r>
          </w:p>
        </w:tc>
        <w:tc>
          <w:tcPr>
            <w:tcW w:type="dxa" w:w="964"/>
            <w:tcBorders>
              <w:bottom w:val="single" w:sz="4" w:space="0" w:color="D8CCB6"/>
            </w:tcBorders>
            <w:tcMar>
              <w:top w:w="68" w:type="dxa"/>
              <w:left w:w="85" w:type="dxa"/>
              <w:bottom w:w="68" w:type="dxa"/>
              <w:right w:w="85" w:type="dxa"/>
            </w:tcMar>
          </w:tcPr>
          <w:p>
            <w:pPr>
              <w:pStyle w:val="DDTabellentext"/>
            </w:pPr>
            <w:r>
              <w:rPr>
                <w:rFonts w:ascii="IBM Plex Mono" w:hAnsi="IBM Plex Mono" w:eastAsia="IBM Plex Mono" w:cs="IBM Plex Mono"/>
                <w:b/>
                <w:color w:val="1C2B3A"/>
                <w:sz w:val="15"/>
                <w:shd w:val="clear" w:color="auto" w:fill="E3D8C4"/>
              </w:rPr>
              <w:t xml:space="preserve"> PAPIER </w:t>
            </w:r>
          </w:p>
        </w:tc>
        <w:tc>
          <w:tcPr>
            <w:tcW w:type="dxa" w:w="7144"/>
            <w:tcBorders>
              <w:bottom w:val="single" w:sz="4" w:space="0" w:color="D8CCB6"/>
            </w:tcBorders>
            <w:tcMar>
              <w:top w:w="68" w:type="dxa"/>
              <w:left w:w="85" w:type="dxa"/>
              <w:bottom w:w="68" w:type="dxa"/>
              <w:right w:w="85" w:type="dxa"/>
            </w:tcMar>
          </w:tcPr>
          <w:p>
            <w:pPr>
              <w:pStyle w:val="DDTabellentext"/>
            </w:pPr>
            <w:r>
              <w:t xml:space="preserve">Markiere im Anforderungstext </w:t>
            </w:r>
            <w:r>
              <w:rPr>
                <w:b/>
              </w:rPr>
              <w:t>Entitätstypen</w:t>
            </w:r>
            <w:r>
              <w:t xml:space="preserve">, </w:t>
            </w:r>
            <w:r>
              <w:rPr>
                <w:b/>
              </w:rPr>
              <w:t>Beziehungstypen</w:t>
            </w:r>
            <w:r>
              <w:t xml:space="preserve">, </w:t>
            </w:r>
            <w:r>
              <w:rPr>
                <w:b/>
              </w:rPr>
              <w:t>Attribute</w:t>
            </w:r>
            <w:r>
              <w:t xml:space="preserve"> und </w:t>
            </w:r>
            <w:r>
              <w:rPr>
                <w:b/>
              </w:rPr>
              <w:t>Mengenangaben</w:t>
            </w:r>
            <w:r>
              <w:t xml:space="preserve"> in vier verschiedenen Farben.</w:t>
            </w:r>
          </w:p>
          <w:tbl>
            <w:tblPr>
              <w:tblStyle w:val="Datentabelle"/>
              <w:jc w:val="left"/>
              <w:tblLayout w:type="fixed"/>
              <w:tblLook w:firstColumn="1" w:firstRow="1" w:lastColumn="0" w:lastRow="0" w:noHBand="0" w:noVBand="1" w:val="04A0"/>
              <w:tblW w:w="6804" w:type="dxa"/>
            </w:tblPr>
            <w:tblGrid>
              <w:gridCol w:w="6804"/>
            </w:tblGrid>
            <w:tr>
              <w:trPr>
                <w:tblHeader/>
              </w:trPr>
              <w:tc>
                <w:tcPr>
                  <w:tcW w:type="dxa" w:w="6803"/>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ANFORDERUNGSTEXT DES WETTBEWERBS</w:t>
                  </w:r>
                </w:p>
              </w:tc>
            </w:tr>
            <w:tr>
              <w:tc>
                <w:tcPr>
                  <w:tcW w:type="dxa" w:w="6803"/>
                  <w:tcBorders>
                    <w:top w:val="single" w:sz="4" w:space="0" w:color="D8CCB6"/>
                    <w:left w:val="single" w:sz="4" w:space="0" w:color="D8CCB6"/>
                    <w:bottom w:val="single" w:sz="4" w:space="0" w:color="D8CCB6"/>
                    <w:right w:val="single" w:sz="4" w:space="0" w:color="D8CCB6"/>
                  </w:tcBorders>
                </w:tcPr>
                <w:p>
                  <w:pPr>
                    <w:pStyle w:val="DDTabellentext"/>
                  </w:pPr>
                  <w:r>
                    <w:rPr>
                      <w:sz w:val="18"/>
                    </w:rPr>
                    <w:t xml:space="preserve">„Die Detektei verwaltet ihre </w:t>
                  </w:r>
                  <w:r>
                    <w:rPr>
                      <w:b/>
                      <w:sz w:val="18"/>
                    </w:rPr>
                    <w:t>Ermittler</w:t>
                  </w:r>
                  <w:r>
                    <w:rPr>
                      <w:sz w:val="18"/>
                    </w:rPr>
                    <w:t xml:space="preserve"> (Nummer, Name, Dienstgrad). Erfahrene Ermittler </w:t>
                  </w:r>
                  <w:r>
                    <w:rPr>
                      <w:b/>
                      <w:sz w:val="18"/>
                    </w:rPr>
                    <w:t>betreuen</w:t>
                  </w:r>
                  <w:r>
                    <w:rPr>
                      <w:sz w:val="18"/>
                    </w:rPr>
                    <w:t xml:space="preserve"> als Mentor mehrere Neulinge; jeder Neuling hat höchstens einen Mentor. Jeder </w:t>
                  </w:r>
                  <w:r>
                    <w:rPr>
                      <w:b/>
                      <w:sz w:val="18"/>
                    </w:rPr>
                    <w:t>Fall</w:t>
                  </w:r>
                  <w:r>
                    <w:rPr>
                      <w:sz w:val="18"/>
                    </w:rPr>
                    <w:t xml:space="preserve"> (Nummer, Titel, Eröffnungsdatum, Status) wird von genau einem Ermittler </w:t>
                  </w:r>
                  <w:r>
                    <w:rPr>
                      <w:b/>
                      <w:sz w:val="18"/>
                    </w:rPr>
                    <w:t>geleitet</w:t>
                  </w:r>
                  <w:r>
                    <w:rPr>
                      <w:sz w:val="18"/>
                    </w:rPr>
                    <w:t xml:space="preserve">. </w:t>
                  </w:r>
                  <w:r>
                    <w:rPr>
                      <w:b/>
                      <w:sz w:val="18"/>
                    </w:rPr>
                    <w:t>Personen</w:t>
                  </w:r>
                  <w:r>
                    <w:rPr>
                      <w:sz w:val="18"/>
                    </w:rPr>
                    <w:t xml:space="preserve"> (Nummer, Vorname, Nachname, Jahrgang, Stadtteil) können in mehreren Fällen </w:t>
                  </w:r>
                  <w:r>
                    <w:rPr>
                      <w:b/>
                      <w:sz w:val="18"/>
                    </w:rPr>
                    <w:t>verdächtig</w:t>
                  </w:r>
                  <w:r>
                    <w:rPr>
                      <w:sz w:val="18"/>
                    </w:rPr>
                    <w:t xml:space="preserve"> sein, jeweils mit einem Verdachtsgrad. Personen </w:t>
                  </w:r>
                  <w:r>
                    <w:rPr>
                      <w:b/>
                      <w:sz w:val="18"/>
                    </w:rPr>
                    <w:t>kennen</w:t>
                  </w:r>
                  <w:r>
                    <w:rPr>
                      <w:sz w:val="18"/>
                    </w:rPr>
                    <w:t xml:space="preserve"> einander seit einem bestimmten Datum. Personen </w:t>
                  </w:r>
                  <w:r>
                    <w:rPr>
                      <w:b/>
                      <w:sz w:val="18"/>
                    </w:rPr>
                    <w:t>sagen</w:t>
                  </w:r>
                  <w:r>
                    <w:rPr>
                      <w:sz w:val="18"/>
                    </w:rPr>
                    <w:t xml:space="preserve"> zu einem Fall an einem </w:t>
                  </w:r>
                  <w:r>
                    <w:rPr>
                      <w:b/>
                      <w:sz w:val="18"/>
                    </w:rPr>
                    <w:t>Ort</w:t>
                  </w:r>
                  <w:r>
                    <w:rPr>
                      <w:sz w:val="18"/>
                    </w:rPr>
                    <w:t xml:space="preserve"> (Nummer, Bezeichnung, Stadtteil) zu einem Zeitpunkt </w:t>
                  </w:r>
                  <w:r>
                    <w:rPr>
                      <w:b/>
                      <w:sz w:val="18"/>
                    </w:rPr>
                    <w:t>aus</w:t>
                  </w:r>
                  <w:r>
                    <w:rPr>
                      <w:sz w:val="18"/>
                    </w:rPr>
                    <w:t xml:space="preserve">; der Inhalt wird festgehalten. </w:t>
                  </w:r>
                  <w:r>
                    <w:rPr>
                      <w:b/>
                      <w:sz w:val="18"/>
                    </w:rPr>
                    <w:t>Beweisstücke</w:t>
                  </w:r>
                  <w:r>
                    <w:rPr>
                      <w:sz w:val="18"/>
                    </w:rPr>
                    <w:t xml:space="preserve"> (Nummer, Bezeichnung) gehören zu genau einem Fall und wurden an genau einem Ort gefunden.“</w:t>
                  </w:r>
                </w:p>
              </w:tc>
            </w:tr>
          </w:tbl>
          <w:p>
            <w:pPr>
              <w:pStyle w:val="DDAbstand"/>
            </w:pPr>
          </w:p>
          <w:tbl>
            <w:tblPr>
              <w:tblLayout w:type="fixed"/>
              <w:tblLook w:firstColumn="1" w:firstRow="1" w:lastColumn="0" w:lastRow="0" w:noHBand="0" w:noVBand="1" w:val="04A0"/>
              <w:tblW w:w="6520" w:type="dxa"/>
            </w:tblPr>
            <w:tblGrid>
              <w:gridCol w:w="6520"/>
            </w:tblGrid>
            <w:tr>
              <w:tc>
                <w:tcPr>
                  <w:tcW w:type="dxa" w:w="6520"/>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pStyle w:val="DDTabellentext"/>
                    <w:spacing w:after="60"/>
                  </w:pPr>
                  <w:r>
                    <w:rPr>
                      <w:b/>
                    </w:rPr>
                    <w:t>Entitätstypen:</w:t>
                  </w:r>
                  <w:r>
                    <w:t xml:space="preserve"> Ermittler, Fall, Person, Ort, Beweisstück · </w:t>
                  </w:r>
                  <w:r>
                    <w:rPr>
                      <w:b/>
                    </w:rPr>
                    <w:t>Beziehungstypen:</w:t>
                  </w:r>
                  <w:r>
                    <w:t xml:space="preserve"> betreuen, leiten, verdächtig sein, kennen, aussagen, gehören zu, gefunden an · </w:t>
                  </w:r>
                  <w:r>
                    <w:rPr>
                      <w:b/>
                    </w:rPr>
                    <w:t>Attribute:</w:t>
                  </w:r>
                  <w:r>
                    <w:t xml:space="preserve"> Nummer, Name, Dienstgrad, Titel, Eröffnungsdatum, Status, Vorname, Nachname, Jahrgang, Stadtteil, Bezeichnung, Verdachtsgrad, Datum (Seit), Zeitpunkt, Inhalt · </w:t>
                  </w:r>
                  <w:r>
                    <w:rPr>
                      <w:b/>
                    </w:rPr>
                    <w:t>Mengenangaben:</w:t>
                  </w:r>
                  <w:r>
                    <w:t xml:space="preserve"> mehrere Neulinge, höchstens einen Mentor, genau einem Ermittler, in mehreren Fällen, genau einem Fall, genau einem Ort.</w:t>
                  </w: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P9</w:t>
                  </w:r>
                  <w:r>
                    <w:t xml:space="preserve">  Verdachtsgrad, Seit, Zeitpunkt, Inhalt als Attribute eines Entitätstyps markiert – sie gehören zu Beziehungen.</w:t>
                  </w:r>
                </w:p>
              </w:tc>
            </w:tr>
          </w:tbl>
          <w:p>
            <w:pPr>
              <w:pStyle w:val="DDAbstand"/>
            </w:pPr>
          </w:p>
        </w:tc>
      </w:tr>
      <w:tr>
        <w:tc>
          <w:tcPr>
            <w:tcW w:type="dxa" w:w="567"/>
            <w:tcBorders>
              <w:bottom w:val="single" w:sz="4" w:space="0" w:color="D8CCB6"/>
            </w:tcBorders>
            <w:tcMar>
              <w:top w:w="68" w:type="dxa"/>
              <w:left w:w="85" w:type="dxa"/>
              <w:bottom w:w="68" w:type="dxa"/>
              <w:right w:w="85" w:type="dxa"/>
            </w:tcMar>
          </w:tcPr>
          <w:p>
            <w:pPr>
              <w:pStyle w:val="DDTabellentext"/>
            </w:pPr>
            <w:r>
              <w:rPr>
                <w:rFonts w:ascii="Barlow Condensed SemiBold" w:hAnsi="Barlow Condensed SemiBold" w:eastAsia="Barlow Condensed SemiBold" w:cs="Barlow Condensed SemiBold"/>
                <w:sz w:val="30"/>
              </w:rPr>
              <w:t>2</w:t>
            </w:r>
          </w:p>
        </w:tc>
        <w:tc>
          <w:tcPr>
            <w:tcW w:type="dxa" w:w="964"/>
            <w:tcBorders>
              <w:bottom w:val="single" w:sz="4" w:space="0" w:color="D8CCB6"/>
            </w:tcBorders>
            <w:tcMar>
              <w:top w:w="68" w:type="dxa"/>
              <w:left w:w="85" w:type="dxa"/>
              <w:bottom w:w="68" w:type="dxa"/>
              <w:right w:w="85" w:type="dxa"/>
            </w:tcMar>
          </w:tcPr>
          <w:p>
            <w:pPr>
              <w:pStyle w:val="DDTabellentext"/>
            </w:pPr>
            <w:r>
              <w:rPr>
                <w:rFonts w:ascii="Segoe UI Symbol" w:hAnsi="Segoe UI Symbol" w:eastAsia="Segoe UI Symbol" w:cs="Segoe UI Symbol"/>
                <w:color w:val="94742B"/>
                <w:sz w:val="20"/>
              </w:rPr>
              <w:t>★★</w:t>
            </w:r>
            <w:r>
              <w:rPr>
                <w:rFonts w:ascii="Segoe UI Symbol" w:hAnsi="Segoe UI Symbol" w:eastAsia="Segoe UI Symbol" w:cs="Segoe UI Symbol"/>
                <w:color w:val="8F8270"/>
                <w:sz w:val="20"/>
              </w:rPr>
              <w:t>☆</w:t>
            </w:r>
          </w:p>
        </w:tc>
        <w:tc>
          <w:tcPr>
            <w:tcW w:type="dxa" w:w="964"/>
            <w:tcBorders>
              <w:bottom w:val="single" w:sz="4" w:space="0" w:color="D8CCB6"/>
            </w:tcBorders>
            <w:tcMar>
              <w:top w:w="68" w:type="dxa"/>
              <w:left w:w="85" w:type="dxa"/>
              <w:bottom w:w="68" w:type="dxa"/>
              <w:right w:w="85" w:type="dxa"/>
            </w:tcMar>
          </w:tcPr>
          <w:p>
            <w:pPr>
              <w:pStyle w:val="DDTabellentext"/>
            </w:pPr>
            <w:r>
              <w:rPr>
                <w:rFonts w:ascii="IBM Plex Mono" w:hAnsi="IBM Plex Mono" w:eastAsia="IBM Plex Mono" w:cs="IBM Plex Mono"/>
                <w:b/>
                <w:color w:val="1C2B3A"/>
                <w:sz w:val="15"/>
                <w:shd w:val="clear" w:color="auto" w:fill="E3D8C4"/>
              </w:rPr>
              <w:t xml:space="preserve"> PAPIER </w:t>
            </w:r>
          </w:p>
        </w:tc>
        <w:tc>
          <w:tcPr>
            <w:tcW w:type="dxa" w:w="7144"/>
            <w:tcBorders>
              <w:bottom w:val="single" w:sz="4" w:space="0" w:color="D8CCB6"/>
            </w:tcBorders>
            <w:tcMar>
              <w:top w:w="68" w:type="dxa"/>
              <w:left w:w="85" w:type="dxa"/>
              <w:bottom w:w="68" w:type="dxa"/>
              <w:right w:w="85" w:type="dxa"/>
            </w:tcMar>
          </w:tcPr>
          <w:p>
            <w:pPr>
              <w:pStyle w:val="DDTabellentext"/>
            </w:pPr>
            <w:r>
              <w:rPr>
                <w:b/>
              </w:rPr>
              <w:t>Entwickelt</w:t>
            </w:r>
            <w:r>
              <w:t xml:space="preserve"> im Team das ER-Modell zum Anforderungstext auf dem Plakat (A2). Zeichne hier die Beziehungstypen, über die ihr im Team gestritten habt, und gib eure Entscheidung an.</w:t>
            </w:r>
          </w:p>
          <w:tbl>
            <w:tblPr>
              <w:tblLayout w:type="fixed"/>
              <w:tblLook w:firstColumn="1" w:firstRow="1" w:lastColumn="0" w:lastRow="0" w:noHBand="0" w:noVBand="1" w:val="04A0"/>
              <w:tblW w:w="6520" w:type="dxa"/>
            </w:tblPr>
            <w:tblGrid>
              <w:gridCol w:w="6520"/>
            </w:tblGrid>
            <w:tr>
              <w:tc>
                <w:tcPr>
                  <w:tcW w:type="dxa" w:w="6520"/>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pStyle w:val="DDTabellentext"/>
                    <w:spacing w:after="60"/>
                  </w:pPr>
                  <w:r>
                    <w:t>Referenzlösung (= Fall-Datenbank der Detektei, im Lab nach A5-E2-07 sichtbar):</w:t>
                  </w:r>
                </w:p>
                <w:p>
                  <w:pPr>
                    <w:jc w:val="center"/>
                  </w:pPr>
                  <w:r>
                    <w:drawing>
                      <wp:inline xmlns:a="http://schemas.openxmlformats.org/drawingml/2006/main" xmlns:pic="http://schemas.openxmlformats.org/drawingml/2006/picture">
                        <wp:extent cx="3852130" cy="2556229"/>
                        <wp:docPr id="5" name="Picture 5"/>
                        <wp:cNvGraphicFramePr>
                          <a:graphicFrameLocks noChangeAspect="1"/>
                        </wp:cNvGraphicFramePr>
                        <a:graphic>
                          <a:graphicData uri="http://schemas.openxmlformats.org/drawingml/2006/picture">
                            <pic:pic>
                              <pic:nvPicPr>
                                <pic:cNvPr id="0" name="er_140340856463312.png"/>
                                <pic:cNvPicPr/>
                              </pic:nvPicPr>
                              <pic:blipFill>
                                <a:blip r:embed="rId15"/>
                                <a:stretch>
                                  <a:fillRect/>
                                </a:stretch>
                              </pic:blipFill>
                              <pic:spPr>
                                <a:xfrm>
                                  <a:off x="0" y="0"/>
                                  <a:ext cx="3852130" cy="2556229"/>
                                </a:xfrm>
                                <a:prstGeom prst="rect"/>
                              </pic:spPr>
                            </pic:pic>
                          </a:graphicData>
                        </a:graphic>
                      </wp:inline>
                    </w:drawing>
                  </w:r>
                </w:p>
                <w:p>
                  <w:pPr>
                    <w:pStyle w:val="DDTabellentext"/>
                    <w:spacing w:after="60"/>
                  </w:pPr>
                  <w:r>
                    <w:t xml:space="preserve">Kernpunkte = Kriterien des Bewertungsbogens: alle 5 Entitätstypen (Ermittler, Fall, Person, Ort, Beweisstück) mit Attributen · Schlüsselattribute markiert (unterstrichen) · </w:t>
                  </w:r>
                  <w:r>
                    <w:rPr>
                      <w:i/>
                    </w:rPr>
                    <w:t>leitet</w:t>
                  </w:r>
                  <w:r>
                    <w:t xml:space="preserve"> 1:n richtig (n an der Kante zu Fall) · </w:t>
                  </w:r>
                  <w:r>
                    <w:rPr>
                      <w:i/>
                    </w:rPr>
                    <w:t>betreut</w:t>
                  </w:r>
                  <w:r>
                    <w:t xml:space="preserve"> rekursiv 1:n mit Rollen Mentor/Neuling · </w:t>
                  </w:r>
                  <w:r>
                    <w:rPr>
                      <w:i/>
                    </w:rPr>
                    <w:t>kennt</w:t>
                  </w:r>
                  <w:r>
                    <w:t xml:space="preserve"> rekursiv n:m mit Attribut Seit · </w:t>
                  </w:r>
                  <w:r>
                    <w:rPr>
                      <w:i/>
                    </w:rPr>
                    <w:t>verdaechtig</w:t>
                  </w:r>
                  <w:r>
                    <w:t xml:space="preserve"> n:m mit Attribut Grad an der Raute · </w:t>
                  </w:r>
                  <w:r>
                    <w:rPr>
                      <w:i/>
                    </w:rPr>
                    <w:t>sagtAus</w:t>
                  </w:r>
                  <w:r>
                    <w:t xml:space="preserve"> ternär (Person, Fall, Ort) mit Zeitpunkt und Inhalt · Beweisstück 1:n zu Fall und 1:n zu Ort.</w:t>
                  </w: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P9</w:t>
                  </w:r>
                  <w:r>
                    <w:t xml:space="preserve">  „Mentor“ als eigener Entitätstyp statt rekursiver Beziehung.</w:t>
                  </w:r>
                </w:p>
                <w:p>
                  <w:pPr>
                    <w:pStyle w:val="DDTabellentext"/>
                  </w:pPr>
                  <w:r>
                    <w:rPr>
                      <w:rFonts w:ascii="IBM Plex Mono" w:hAnsi="IBM Plex Mono" w:eastAsia="IBM Plex Mono" w:cs="IBM Plex Mono"/>
                      <w:b/>
                      <w:color w:val="B3261E"/>
                      <w:sz w:val="15"/>
                      <w:shd w:val="clear" w:color="auto" w:fill="F8E3DF"/>
                    </w:rPr>
                    <w:t>◆ P9</w:t>
                  </w:r>
                  <w:r>
                    <w:t xml:space="preserve">  </w:t>
                  </w:r>
                  <w:r>
                    <w:rPr>
                      <w:i/>
                    </w:rPr>
                    <w:t>sagtAus</w:t>
                  </w:r>
                  <w:r>
                    <w:t xml:space="preserve"> in drei binäre Beziehungen zerlegt.</w:t>
                  </w:r>
                </w:p>
                <w:p>
                  <w:pPr>
                    <w:pStyle w:val="DDTabellentext"/>
                  </w:pPr>
                  <w:r>
                    <w:rPr>
                      <w:rFonts w:ascii="IBM Plex Mono" w:hAnsi="IBM Plex Mono" w:eastAsia="IBM Plex Mono" w:cs="IBM Plex Mono"/>
                      <w:b/>
                      <w:color w:val="B3261E"/>
                      <w:sz w:val="15"/>
                      <w:shd w:val="clear" w:color="auto" w:fill="F8E3DF"/>
                    </w:rPr>
                    <w:t>◆ P9</w:t>
                  </w:r>
                  <w:r>
                    <w:t xml:space="preserve">  Grad an Person, Seit an Person, Schlüsselattribute nicht unterstrichen.</w:t>
                  </w:r>
                </w:p>
              </w:tc>
            </w:tr>
          </w:tbl>
          <w:p>
            <w:pPr>
              <w:pStyle w:val="DDAbstand"/>
            </w:pPr>
          </w:p>
        </w:tc>
      </w:tr>
      <w:tr>
        <w:tc>
          <w:tcPr>
            <w:tcW w:type="dxa" w:w="567"/>
            <w:tcBorders>
              <w:bottom w:val="single" w:sz="4" w:space="0" w:color="D8CCB6"/>
            </w:tcBorders>
            <w:tcMar>
              <w:top w:w="68" w:type="dxa"/>
              <w:left w:w="85" w:type="dxa"/>
              <w:bottom w:w="68" w:type="dxa"/>
              <w:right w:w="85" w:type="dxa"/>
            </w:tcMar>
          </w:tcPr>
          <w:p>
            <w:pPr>
              <w:pStyle w:val="DDTabellentext"/>
            </w:pPr>
            <w:r>
              <w:rPr>
                <w:rFonts w:ascii="Barlow Condensed SemiBold" w:hAnsi="Barlow Condensed SemiBold" w:eastAsia="Barlow Condensed SemiBold" w:cs="Barlow Condensed SemiBold"/>
                <w:sz w:val="30"/>
              </w:rPr>
              <w:t>3</w:t>
            </w:r>
          </w:p>
        </w:tc>
        <w:tc>
          <w:tcPr>
            <w:tcW w:type="dxa" w:w="964"/>
            <w:tcBorders>
              <w:bottom w:val="single" w:sz="4" w:space="0" w:color="D8CCB6"/>
            </w:tcBorders>
            <w:tcMar>
              <w:top w:w="68" w:type="dxa"/>
              <w:left w:w="85" w:type="dxa"/>
              <w:bottom w:w="68" w:type="dxa"/>
              <w:right w:w="85" w:type="dxa"/>
            </w:tcMar>
          </w:tcPr>
          <w:p>
            <w:pPr>
              <w:pStyle w:val="DDTabellentext"/>
            </w:pPr>
            <w:r>
              <w:rPr>
                <w:rFonts w:ascii="Segoe UI Symbol" w:hAnsi="Segoe UI Symbol" w:eastAsia="Segoe UI Symbol" w:cs="Segoe UI Symbol"/>
                <w:color w:val="94742B"/>
                <w:sz w:val="20"/>
              </w:rPr>
              <w:t>★★</w:t>
            </w:r>
            <w:r>
              <w:rPr>
                <w:rFonts w:ascii="Segoe UI Symbol" w:hAnsi="Segoe UI Symbol" w:eastAsia="Segoe UI Symbol" w:cs="Segoe UI Symbol"/>
                <w:color w:val="8F8270"/>
                <w:sz w:val="20"/>
              </w:rPr>
              <w:t>☆</w:t>
            </w:r>
          </w:p>
        </w:tc>
        <w:tc>
          <w:tcPr>
            <w:tcW w:type="dxa" w:w="964"/>
            <w:tcBorders>
              <w:bottom w:val="single" w:sz="4" w:space="0" w:color="D8CCB6"/>
            </w:tcBorders>
            <w:tcMar>
              <w:top w:w="68" w:type="dxa"/>
              <w:left w:w="85" w:type="dxa"/>
              <w:bottom w:w="68" w:type="dxa"/>
              <w:right w:w="85" w:type="dxa"/>
            </w:tcMar>
          </w:tcPr>
          <w:p>
            <w:pPr>
              <w:pStyle w:val="DDTabellentext"/>
            </w:pPr>
            <w:r>
              <w:rPr>
                <w:rFonts w:ascii="IBM Plex Mono" w:hAnsi="IBM Plex Mono" w:eastAsia="IBM Plex Mono" w:cs="IBM Plex Mono"/>
                <w:b/>
                <w:color w:val="1C2B3A"/>
                <w:sz w:val="15"/>
                <w:shd w:val="clear" w:color="auto" w:fill="E3D8C4"/>
              </w:rPr>
              <w:t xml:space="preserve"> PAPIER </w:t>
            </w:r>
          </w:p>
        </w:tc>
        <w:tc>
          <w:tcPr>
            <w:tcW w:type="dxa" w:w="7144"/>
            <w:tcBorders>
              <w:bottom w:val="single" w:sz="4" w:space="0" w:color="D8CCB6"/>
            </w:tcBorders>
            <w:tcMar>
              <w:top w:w="68" w:type="dxa"/>
              <w:left w:w="85" w:type="dxa"/>
              <w:bottom w:w="68" w:type="dxa"/>
              <w:right w:w="85" w:type="dxa"/>
            </w:tcMar>
          </w:tcPr>
          <w:p>
            <w:pPr>
              <w:pStyle w:val="DDTabellentext"/>
            </w:pPr>
            <w:r>
              <w:t xml:space="preserve">Neue Anforderung: „Ein Fall kann als </w:t>
            </w:r>
            <w:r>
              <w:rPr>
                <w:b/>
              </w:rPr>
              <w:t>Wiederaufnahme</w:t>
            </w:r>
            <w:r>
              <w:t xml:space="preserve"> eines früheren Falls eröffnet werden; derselbe frühere Fall kann mehrmals wieder aufgenommen werden.“ </w:t>
            </w:r>
            <w:r>
              <w:rPr>
                <w:b/>
              </w:rPr>
              <w:t>Erweitere</w:t>
            </w:r>
            <w:r>
              <w:t xml:space="preserve"> das Modell (nur der betroffene Ausschnitt).</w:t>
            </w:r>
          </w:p>
          <w:tbl>
            <w:tblPr>
              <w:tblLayout w:type="fixed"/>
              <w:tblLook w:firstColumn="1" w:firstRow="1" w:lastColumn="0" w:lastRow="0" w:noHBand="0" w:noVBand="1" w:val="04A0"/>
              <w:tblW w:w="6520" w:type="dxa"/>
            </w:tblPr>
            <w:tblGrid>
              <w:gridCol w:w="6520"/>
            </w:tblGrid>
            <w:tr>
              <w:tc>
                <w:tcPr>
                  <w:tcW w:type="dxa" w:w="6520"/>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jc w:val="center"/>
                  </w:pPr>
                  <w:r>
                    <w:drawing>
                      <wp:inline xmlns:a="http://schemas.openxmlformats.org/drawingml/2006/main" xmlns:pic="http://schemas.openxmlformats.org/drawingml/2006/picture">
                        <wp:extent cx="2340000" cy="2212333"/>
                        <wp:docPr id="6" name="Picture 6"/>
                        <wp:cNvGraphicFramePr>
                          <a:graphicFrameLocks noChangeAspect="1"/>
                        </wp:cNvGraphicFramePr>
                        <a:graphic>
                          <a:graphicData uri="http://schemas.openxmlformats.org/drawingml/2006/picture">
                            <pic:pic>
                              <pic:nvPicPr>
                                <pic:cNvPr id="0" name="er_140340856459728.png"/>
                                <pic:cNvPicPr/>
                              </pic:nvPicPr>
                              <pic:blipFill>
                                <a:blip r:embed="rId16"/>
                                <a:stretch>
                                  <a:fillRect/>
                                </a:stretch>
                              </pic:blipFill>
                              <pic:spPr>
                                <a:xfrm>
                                  <a:off x="0" y="0"/>
                                  <a:ext cx="2340000" cy="2212333"/>
                                </a:xfrm>
                                <a:prstGeom prst="rect"/>
                              </pic:spPr>
                            </pic:pic>
                          </a:graphicData>
                        </a:graphic>
                      </wp:inline>
                    </w:drawing>
                  </w:r>
                </w:p>
                <w:p>
                  <w:pPr>
                    <w:pStyle w:val="DDTabellentext"/>
                    <w:spacing w:after="60"/>
                  </w:pPr>
                  <w:r>
                    <w:t>Rekursiver Beziehungstyp an Fall mit den Rollen Vorgänger (1) und Wiederaufnahme (n): Ein Fall hat höchstens einen Vorgängerfall, ein Vorgängerfall kann mehrere Wiederaufnahmen haben. (Wer begründet „jeder Fall wird höchstens einmal wieder aufgenommen“ annimmt, modelliert 1:1 – mit dem Text oben ist 1:n richtig.)</w:t>
                  </w: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P9</w:t>
                  </w:r>
                  <w:r>
                    <w:t xml:space="preserve">  Neuer Entitätstyp „Vorgängerfall“ – die Rolle gehört an die Kante.</w:t>
                  </w:r>
                </w:p>
                <w:p>
                  <w:pPr>
                    <w:pStyle w:val="DDTabellentext"/>
                  </w:pPr>
                  <w:r>
                    <w:rPr>
                      <w:rFonts w:ascii="IBM Plex Mono" w:hAnsi="IBM Plex Mono" w:eastAsia="IBM Plex Mono" w:cs="IBM Plex Mono"/>
                      <w:b/>
                      <w:color w:val="B3261E"/>
                      <w:sz w:val="15"/>
                      <w:shd w:val="clear" w:color="auto" w:fill="F8E3DF"/>
                    </w:rPr>
                    <w:t>◆ P9</w:t>
                  </w:r>
                  <w:r>
                    <w:t xml:space="preserve">  Attribut VorgaengerNr an Fall – Fremdschlüssel gibt es erst im Relationenschema, im ER-Diagramm ist es eine Beziehung.</w:t>
                  </w:r>
                </w:p>
              </w:tc>
            </w:tr>
          </w:tbl>
          <w:p>
            <w:pPr>
              <w:pStyle w:val="DDAbstand"/>
            </w:pPr>
          </w:p>
        </w:tc>
      </w:tr>
      <w:tr>
        <w:tc>
          <w:tcPr>
            <w:tcW w:type="dxa" w:w="567"/>
            <w:tcBorders>
              <w:bottom w:val="single" w:sz="4" w:space="0" w:color="D8CCB6"/>
            </w:tcBorders>
            <w:tcMar>
              <w:top w:w="68" w:type="dxa"/>
              <w:left w:w="85" w:type="dxa"/>
              <w:bottom w:w="68" w:type="dxa"/>
              <w:right w:w="85" w:type="dxa"/>
            </w:tcMar>
          </w:tcPr>
          <w:p>
            <w:pPr>
              <w:pStyle w:val="DDTabellentext"/>
            </w:pPr>
            <w:r>
              <w:rPr>
                <w:rFonts w:ascii="Barlow Condensed SemiBold" w:hAnsi="Barlow Condensed SemiBold" w:eastAsia="Barlow Condensed SemiBold" w:cs="Barlow Condensed SemiBold"/>
                <w:sz w:val="30"/>
              </w:rPr>
              <w:t>4</w:t>
            </w:r>
          </w:p>
        </w:tc>
        <w:tc>
          <w:tcPr>
            <w:tcW w:type="dxa" w:w="964"/>
            <w:tcBorders>
              <w:bottom w:val="single" w:sz="4" w:space="0" w:color="D8CCB6"/>
            </w:tcBorders>
            <w:tcMar>
              <w:top w:w="68" w:type="dxa"/>
              <w:left w:w="85" w:type="dxa"/>
              <w:bottom w:w="68" w:type="dxa"/>
              <w:right w:w="85" w:type="dxa"/>
            </w:tcMar>
          </w:tcPr>
          <w:p>
            <w:pPr>
              <w:pStyle w:val="DDTabellentext"/>
            </w:pPr>
            <w:r>
              <w:rPr>
                <w:rFonts w:ascii="Segoe UI Symbol" w:hAnsi="Segoe UI Symbol" w:eastAsia="Segoe UI Symbol" w:cs="Segoe UI Symbol"/>
                <w:color w:val="94742B"/>
                <w:sz w:val="20"/>
              </w:rPr>
              <w:t>★★★</w:t>
            </w:r>
            <w:r>
              <w:rPr>
                <w:rFonts w:ascii="Segoe UI Symbol" w:hAnsi="Segoe UI Symbol" w:eastAsia="Segoe UI Symbol" w:cs="Segoe UI Symbol"/>
                <w:color w:val="8F8270"/>
                <w:sz w:val="20"/>
              </w:rPr>
            </w:r>
          </w:p>
        </w:tc>
        <w:tc>
          <w:tcPr>
            <w:tcW w:type="dxa" w:w="964"/>
            <w:tcBorders>
              <w:bottom w:val="single" w:sz="4" w:space="0" w:color="D8CCB6"/>
            </w:tcBorders>
            <w:tcMar>
              <w:top w:w="68" w:type="dxa"/>
              <w:left w:w="85" w:type="dxa"/>
              <w:bottom w:w="68" w:type="dxa"/>
              <w:right w:w="85" w:type="dxa"/>
            </w:tcMar>
          </w:tcPr>
          <w:p>
            <w:pPr>
              <w:pStyle w:val="DDTabellentext"/>
            </w:pPr>
            <w:r>
              <w:rPr>
                <w:rFonts w:ascii="IBM Plex Mono" w:hAnsi="IBM Plex Mono" w:eastAsia="IBM Plex Mono" w:cs="IBM Plex Mono"/>
                <w:b/>
                <w:color w:val="1C2B3A"/>
                <w:sz w:val="15"/>
                <w:shd w:val="clear" w:color="auto" w:fill="E3D8C4"/>
              </w:rPr>
              <w:t xml:space="preserve"> PAPIER </w:t>
            </w:r>
          </w:p>
        </w:tc>
        <w:tc>
          <w:tcPr>
            <w:tcW w:type="dxa" w:w="7144"/>
            <w:tcBorders>
              <w:bottom w:val="single" w:sz="4" w:space="0" w:color="D8CCB6"/>
            </w:tcBorders>
            <w:tcMar>
              <w:top w:w="68" w:type="dxa"/>
              <w:left w:w="85" w:type="dxa"/>
              <w:bottom w:w="68" w:type="dxa"/>
              <w:right w:w="85" w:type="dxa"/>
            </w:tcMar>
          </w:tcPr>
          <w:p>
            <w:pPr>
              <w:pStyle w:val="DDTabellentext"/>
            </w:pPr>
            <w:r>
              <w:t xml:space="preserve">Im Galerie-Rundgang hängt der Entwurf von Team „Hafenkante“. </w:t>
            </w:r>
            <w:r>
              <w:rPr>
                <w:b/>
              </w:rPr>
              <w:t>Beurteile</w:t>
            </w:r>
            <w:r>
              <w:t xml:space="preserve"> ihn mit den Kriterien des Bewertungsbogens: Was ist gelungen, was fehlt oder ist falsch? Gib eine Verbesserung an und begründe dein Urteil.</w:t>
            </w:r>
          </w:p>
          <w:p>
            <w:pPr>
              <w:jc w:val="center"/>
            </w:pPr>
            <w:r>
              <w:drawing>
                <wp:inline xmlns:a="http://schemas.openxmlformats.org/drawingml/2006/main" xmlns:pic="http://schemas.openxmlformats.org/drawingml/2006/picture">
                  <wp:extent cx="4284130" cy="2127533"/>
                  <wp:docPr id="7" name="Picture 7"/>
                  <wp:cNvGraphicFramePr>
                    <a:graphicFrameLocks noChangeAspect="1"/>
                  </wp:cNvGraphicFramePr>
                  <a:graphic>
                    <a:graphicData uri="http://schemas.openxmlformats.org/drawingml/2006/picture">
                      <pic:pic>
                        <pic:nvPicPr>
                          <pic:cNvPr id="0" name="er_140340856462640.png"/>
                          <pic:cNvPicPr/>
                        </pic:nvPicPr>
                        <pic:blipFill>
                          <a:blip r:embed="rId17"/>
                          <a:stretch>
                            <a:fillRect/>
                          </a:stretch>
                        </pic:blipFill>
                        <pic:spPr>
                          <a:xfrm>
                            <a:off x="0" y="0"/>
                            <a:ext cx="4284130" cy="2127533"/>
                          </a:xfrm>
                          <a:prstGeom prst="rect"/>
                        </pic:spPr>
                      </pic:pic>
                    </a:graphicData>
                  </a:graphic>
                </wp:inline>
              </w:drawing>
            </w:r>
          </w:p>
          <w:tbl>
            <w:tblPr>
              <w:tblLayout w:type="fixed"/>
              <w:tblLook w:firstColumn="1" w:firstRow="1" w:lastColumn="0" w:lastRow="0" w:noHBand="0" w:noVBand="1" w:val="04A0"/>
              <w:tblW w:w="6520" w:type="dxa"/>
            </w:tblPr>
            <w:tblGrid>
              <w:gridCol w:w="6520"/>
            </w:tblGrid>
            <w:tr>
              <w:tc>
                <w:tcPr>
                  <w:tcW w:type="dxa" w:w="6520"/>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pStyle w:val="DDTabellentext"/>
                    <w:spacing w:after="60"/>
                  </w:pPr>
                  <w:r>
                    <w:rPr>
                      <w:b/>
                    </w:rPr>
                    <w:t>Gelungen:</w:t>
                  </w:r>
                  <w:r>
                    <w:t xml:space="preserve"> </w:t>
                  </w:r>
                  <w:r>
                    <w:rPr>
                      <w:i/>
                    </w:rPr>
                    <w:t>leitet</w:t>
                  </w:r>
                  <w:r>
                    <w:t xml:space="preserve"> 1:n und </w:t>
                  </w:r>
                  <w:r>
                    <w:rPr>
                      <w:i/>
                    </w:rPr>
                    <w:t>verdaechtig</w:t>
                  </w:r>
                  <w:r>
                    <w:t xml:space="preserve"> n:m richtig; Schlüssel bei Ermittler, Fall, Person markiert.</w:t>
                  </w:r>
                </w:p>
                <w:p>
                  <w:pPr>
                    <w:pStyle w:val="DDTabellentext"/>
                    <w:spacing w:after="60"/>
                  </w:pPr>
                  <w:r>
                    <w:rPr>
                      <w:b/>
                    </w:rPr>
                    <w:t>Schwächen:</w:t>
                  </w:r>
                  <w:r>
                    <w:t xml:space="preserve"> (1) „Mentor“ als eigener Entitätstyp – ein Mentor ist selbst Ermittler, seine Daten stünden doppelt → rekursiver Beziehungstyp </w:t>
                  </w:r>
                  <w:r>
                    <w:rPr>
                      <w:i/>
                    </w:rPr>
                    <w:t>betreut</w:t>
                  </w:r>
                  <w:r>
                    <w:t xml:space="preserve"> an Ermittler. (2) Grad an Person – der Grad hängt vom Paar Person–Fall ab → an </w:t>
                  </w:r>
                  <w:r>
                    <w:rPr>
                      <w:i/>
                    </w:rPr>
                    <w:t>verdaechtig</w:t>
                  </w:r>
                  <w:r>
                    <w:t xml:space="preserve">. (3) </w:t>
                  </w:r>
                  <w:r>
                    <w:rPr>
                      <w:i/>
                    </w:rPr>
                    <w:t>sagtAus</w:t>
                  </w:r>
                  <w:r>
                    <w:t xml:space="preserve"> nur binär, Ort über </w:t>
                  </w:r>
                  <w:r>
                    <w:rPr>
                      <w:i/>
                    </w:rPr>
                    <w:t>betrifft</w:t>
                  </w:r>
                  <w:r>
                    <w:t xml:space="preserve"> – wer wo zu welchem Fall aussagte, geht verloren → ternär. (4) Ort ohne Schlüsselattribut. (5) </w:t>
                  </w:r>
                  <w:r>
                    <w:rPr>
                      <w:i/>
                    </w:rPr>
                    <w:t>kennt</w:t>
                  </w:r>
                  <w:r>
                    <w:t xml:space="preserve"> und Beweisstück fehlen.</w:t>
                  </w:r>
                </w:p>
                <w:p>
                  <w:pPr>
                    <w:pStyle w:val="DDTabellentext"/>
                    <w:spacing w:after="60"/>
                  </w:pPr>
                  <w:r>
                    <w:rPr>
                      <w:b/>
                    </w:rPr>
                    <w:t>Urteil:</w:t>
                  </w:r>
                  <w:r>
                    <w:t xml:space="preserve"> Grundgerüst brauchbar, aber für die Ermittlung zu ungenau (etwa 4 von 10 Kriterien); Verbesserung zuerst bei sagtAus und Grad, weil sonst Ermittlungsdaten fehlen.</w:t>
                  </w: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P10</w:t>
                  </w:r>
                  <w:r>
                    <w:t xml:space="preserve">  Nur Fehler aufgezählt, ohne Folgen und ohne begründetes Gesamturteil – Beurteilen verlangt alle drei Schritte.</w:t>
                  </w:r>
                </w:p>
              </w:tc>
            </w:tr>
          </w:tbl>
          <w:p>
            <w:pPr>
              <w:pStyle w:val="DDAbstand"/>
            </w:pPr>
          </w:p>
        </w:tc>
      </w:tr>
      <w:tr>
        <w:tc>
          <w:tcPr>
            <w:tcW w:type="dxa" w:w="567"/>
            <w:tcBorders>
              <w:bottom w:val="single" w:sz="4" w:space="0" w:color="D8CCB6"/>
            </w:tcBorders>
            <w:tcMar>
              <w:top w:w="68" w:type="dxa"/>
              <w:left w:w="85" w:type="dxa"/>
              <w:bottom w:w="68" w:type="dxa"/>
              <w:right w:w="85" w:type="dxa"/>
            </w:tcMar>
          </w:tcPr>
          <w:p>
            <w:pPr>
              <w:pStyle w:val="DDTabellentext"/>
            </w:pPr>
            <w:r>
              <w:rPr>
                <w:rFonts w:ascii="Barlow Condensed SemiBold" w:hAnsi="Barlow Condensed SemiBold" w:eastAsia="Barlow Condensed SemiBold" w:cs="Barlow Condensed SemiBold"/>
                <w:sz w:val="30"/>
              </w:rPr>
              <w:t>5</w:t>
            </w:r>
          </w:p>
        </w:tc>
        <w:tc>
          <w:tcPr>
            <w:tcW w:type="dxa" w:w="964"/>
            <w:tcBorders>
              <w:bottom w:val="single" w:sz="4" w:space="0" w:color="D8CCB6"/>
            </w:tcBorders>
            <w:tcMar>
              <w:top w:w="68" w:type="dxa"/>
              <w:left w:w="85" w:type="dxa"/>
              <w:bottom w:w="68" w:type="dxa"/>
              <w:right w:w="85" w:type="dxa"/>
            </w:tcMar>
          </w:tcPr>
          <w:p>
            <w:pPr>
              <w:pStyle w:val="DDTabellentext"/>
            </w:pPr>
            <w:r>
              <w:rPr>
                <w:rFonts w:ascii="Segoe UI Symbol" w:hAnsi="Segoe UI Symbol" w:eastAsia="Segoe UI Symbol" w:cs="Segoe UI Symbol"/>
                <w:color w:val="94742B"/>
                <w:sz w:val="20"/>
              </w:rPr>
              <w:t>★★★</w:t>
            </w:r>
            <w:r>
              <w:rPr>
                <w:rFonts w:ascii="Segoe UI Symbol" w:hAnsi="Segoe UI Symbol" w:eastAsia="Segoe UI Symbol" w:cs="Segoe UI Symbol"/>
                <w:color w:val="8F8270"/>
                <w:sz w:val="20"/>
              </w:rPr>
            </w:r>
          </w:p>
        </w:tc>
        <w:tc>
          <w:tcPr>
            <w:tcW w:type="dxa" w:w="964"/>
            <w:tcBorders>
              <w:bottom w:val="single" w:sz="4" w:space="0" w:color="D8CCB6"/>
            </w:tcBorders>
            <w:tcMar>
              <w:top w:w="68" w:type="dxa"/>
              <w:left w:w="85" w:type="dxa"/>
              <w:bottom w:w="68" w:type="dxa"/>
              <w:right w:w="85" w:type="dxa"/>
            </w:tcMar>
          </w:tcPr>
          <w:p>
            <w:pPr>
              <w:pStyle w:val="DDTabellentext"/>
            </w:pPr>
            <w:r>
              <w:rPr>
                <w:rFonts w:ascii="IBM Plex Mono" w:hAnsi="IBM Plex Mono" w:eastAsia="IBM Plex Mono" w:cs="IBM Plex Mono"/>
                <w:b/>
                <w:color w:val="FFFFFF"/>
                <w:sz w:val="15"/>
                <w:shd w:val="clear" w:color="auto" w:fill="2C5A85"/>
              </w:rPr>
              <w:t xml:space="preserve"> LAB </w:t>
            </w:r>
          </w:p>
        </w:tc>
        <w:tc>
          <w:tcPr>
            <w:tcW w:type="dxa" w:w="7144"/>
            <w:tcBorders>
              <w:bottom w:val="single" w:sz="4" w:space="0" w:color="D8CCB6"/>
            </w:tcBorders>
            <w:tcMar>
              <w:top w:w="68" w:type="dxa"/>
              <w:left w:w="85" w:type="dxa"/>
              <w:bottom w:w="68" w:type="dxa"/>
              <w:right w:w="85" w:type="dxa"/>
            </w:tcMar>
          </w:tcPr>
          <w:p>
            <w:pPr>
              <w:pStyle w:val="DDTabellentext"/>
            </w:pPr>
            <w:r>
              <w:t>Bauplan-Tisch, Ermittlung 5.2, Aufgabe A5-E2-07 „Die Ermittlerschule“: Entwickle das ER-Modell aus dem Anforderungstext. Gib an, welche Kriterien dir der Bauplan-Tisch zuerst als offen gemeldet hat.</w:t>
            </w:r>
          </w:p>
          <w:tbl>
            <w:tblPr>
              <w:tblLayout w:type="fixed"/>
              <w:tblLook w:firstColumn="1" w:firstRow="1" w:lastColumn="0" w:lastRow="0" w:noHBand="0" w:noVBand="1" w:val="04A0"/>
              <w:tblW w:w="6520" w:type="dxa"/>
            </w:tblPr>
            <w:tblGrid>
              <w:gridCol w:w="6520"/>
            </w:tblGrid>
            <w:tr>
              <w:tc>
                <w:tcPr>
                  <w:tcW w:type="dxa" w:w="6520"/>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pStyle w:val="DDTabellentext"/>
                    <w:spacing w:after="60"/>
                  </w:pPr>
                  <w:r>
                    <w:t xml:space="preserve">Entitätstypen Ermittler, Lehrgang, Raum; </w:t>
                  </w:r>
                  <w:r>
                    <w:rPr>
                      <w:i/>
                    </w:rPr>
                    <w:t>leitet</w:t>
                  </w:r>
                  <w:r>
                    <w:t xml:space="preserve"> (Ermittler 1 : n Lehrgang), </w:t>
                  </w:r>
                  <w:r>
                    <w:rPr>
                      <w:i/>
                    </w:rPr>
                    <w:t>besucht</w:t>
                  </w:r>
                  <w:r>
                    <w:t xml:space="preserve"> (Ermittler n : m Lehrgang, Note an der Raute), </w:t>
                  </w:r>
                  <w:r>
                    <w:rPr>
                      <w:i/>
                    </w:rPr>
                    <w:t>betreut</w:t>
                  </w:r>
                  <w:r>
                    <w:t xml:space="preserve"> (rekursiv 1:n, Rollen Mentor/Neuling), </w:t>
                  </w:r>
                  <w:r>
                    <w:rPr>
                      <w:i/>
                    </w:rPr>
                    <w:t>findetStatt</w:t>
                  </w:r>
                  <w:r>
                    <w:t xml:space="preserve"> (Raum 1 : n Lehrgang). Häufig offen: Note an Ermittler, fehlende Rollen, zweiter Beziehungstyp Ermittler–Lehrgang.</w:t>
                  </w:r>
                </w:p>
              </w:tc>
            </w:tr>
          </w:tbl>
          <w:p>
            <w:pPr>
              <w:pStyle w:val="DDAbstand"/>
            </w:pPr>
          </w:p>
        </w:tc>
      </w:tr>
    </w:tbl>
    <w:p>
      <w:pPr>
        <w:spacing w:after="0" w:line="160" w:lineRule="exact"/>
      </w:pPr>
    </w:p>
    <w:tbl>
      <w:tblPr>
        <w:tblLayout w:type="fixed"/>
        <w:tblLook w:firstColumn="1" w:firstRow="1" w:lastColumn="0" w:lastRow="0" w:noHBand="0" w:noVBand="1" w:val="04A0"/>
        <w:tblW w:w="9639" w:type="dxa"/>
      </w:tblPr>
      <w:tblGrid>
        <w:gridCol w:w="9639"/>
      </w:tblGrid>
      <w:tr>
        <w:tc>
          <w:tcPr>
            <w:tcW w:type="dxa" w:w="9638"/>
            <w:tcBorders>
              <w:top w:val="single" w:sz="12" w:space="0" w:color="B3261E"/>
              <w:left w:val="single" w:sz="12" w:space="0" w:color="B3261E"/>
              <w:bottom w:val="single" w:sz="12" w:space="0" w:color="B3261E"/>
              <w:right w:val="single" w:sz="12" w:space="0" w:color="B3261E"/>
            </w:tcBorders>
            <w:shd w:val="clear" w:color="auto" w:fill="FFFDF8"/>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B3261E"/>
                <w:sz w:val="15"/>
                <w:spacing w:val="16"/>
              </w:rPr>
              <w:t>ABI-ECKE</w:t>
            </w:r>
            <w:r>
              <w:rPr>
                <w:rFonts w:ascii="Barlow Condensed SemiBold" w:hAnsi="Barlow Condensed SemiBold" w:eastAsia="Barlow Condensed SemiBold" w:cs="Barlow Condensed SemiBold"/>
                <w:color w:val="1C2B3A"/>
                <w:sz w:val="24"/>
              </w:rPr>
              <w:t xml:space="preserve">  Im Stil des Abiturs (Operator erweitern, AFB II/III)</w:t>
            </w:r>
          </w:p>
          <w:p>
            <w:pPr>
              <w:pStyle w:val="DDTabellentext"/>
            </w:pPr>
            <w:r>
              <w:t xml:space="preserve">Gegeben ist das ER-Modell der Detektei (Ausschnitt). Die Detektei möchte zusätzlich erfassen, welche Ermittler gemeinsam an einem Fall arbeiten, wobei jeweils die Rolle (z. B. Spurensicherung) festgehalten wird, und welcher Ermittler welchen anderen vertritt. Jeder Ermittler hat höchstens eine feste Vertretung, kann selbst aber mehrere Kolleginnen und Kollegen vertreten. </w:t>
            </w:r>
            <w:r>
              <w:rPr>
                <w:b/>
              </w:rPr>
              <w:t>Erweitern</w:t>
            </w:r>
            <w:r>
              <w:t xml:space="preserve"> Sie das gegebene ER-Modell entsprechend. [5 BE]</w:t>
            </w:r>
          </w:p>
          <w:p>
            <w:pPr>
              <w:jc w:val="center"/>
            </w:pPr>
            <w:r>
              <w:drawing>
                <wp:inline xmlns:a="http://schemas.openxmlformats.org/drawingml/2006/main" xmlns:pic="http://schemas.openxmlformats.org/drawingml/2006/picture">
                  <wp:extent cx="3780000" cy="1080994"/>
                  <wp:docPr id="8" name="Picture 8"/>
                  <wp:cNvGraphicFramePr>
                    <a:graphicFrameLocks noChangeAspect="1"/>
                  </wp:cNvGraphicFramePr>
                  <a:graphic>
                    <a:graphicData uri="http://schemas.openxmlformats.org/drawingml/2006/picture">
                      <pic:pic>
                        <pic:nvPicPr>
                          <pic:cNvPr id="0" name="er_140340857461392.png"/>
                          <pic:cNvPicPr/>
                        </pic:nvPicPr>
                        <pic:blipFill>
                          <a:blip r:embed="rId18"/>
                          <a:stretch>
                            <a:fillRect/>
                          </a:stretch>
                        </pic:blipFill>
                        <pic:spPr>
                          <a:xfrm>
                            <a:off x="0" y="0"/>
                            <a:ext cx="3780000" cy="1080994"/>
                          </a:xfrm>
                          <a:prstGeom prst="rect"/>
                        </pic:spPr>
                      </pic:pic>
                    </a:graphicData>
                  </a:graphic>
                </wp:inline>
              </w:drawing>
            </w:r>
          </w:p>
          <w:tbl>
            <w:tblPr>
              <w:tblLayout w:type="fixed"/>
              <w:tblLook w:firstColumn="1" w:firstRow="1" w:lastColumn="0" w:lastRow="0" w:noHBand="0" w:noVBand="1" w:val="04A0"/>
              <w:tblW w:w="8845" w:type="dxa"/>
            </w:tblPr>
            <w:tblGrid>
              <w:gridCol w:w="8845"/>
            </w:tblGrid>
            <w:tr>
              <w:tc>
                <w:tcPr>
                  <w:tcW w:type="dxa" w:w="8844"/>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jc w:val="center"/>
                  </w:pPr>
                  <w:r>
                    <w:drawing>
                      <wp:inline xmlns:a="http://schemas.openxmlformats.org/drawingml/2006/main" xmlns:pic="http://schemas.openxmlformats.org/drawingml/2006/picture">
                        <wp:extent cx="4320000" cy="2076310"/>
                        <wp:docPr id="9" name="Picture 9"/>
                        <wp:cNvGraphicFramePr>
                          <a:graphicFrameLocks noChangeAspect="1"/>
                        </wp:cNvGraphicFramePr>
                        <a:graphic>
                          <a:graphicData uri="http://schemas.openxmlformats.org/drawingml/2006/picture">
                            <pic:pic>
                              <pic:nvPicPr>
                                <pic:cNvPr id="0" name="er_140340856070992.png"/>
                                <pic:cNvPicPr/>
                              </pic:nvPicPr>
                              <pic:blipFill>
                                <a:blip r:embed="rId19"/>
                                <a:stretch>
                                  <a:fillRect/>
                                </a:stretch>
                              </pic:blipFill>
                              <pic:spPr>
                                <a:xfrm>
                                  <a:off x="0" y="0"/>
                                  <a:ext cx="4320000" cy="2076310"/>
                                </a:xfrm>
                                <a:prstGeom prst="rect"/>
                              </pic:spPr>
                            </pic:pic>
                          </a:graphicData>
                        </a:graphic>
                      </wp:inline>
                    </w:drawing>
                  </w:r>
                </w:p>
                <w:p>
                  <w:pPr>
                    <w:pStyle w:val="DDTabellentext"/>
                    <w:spacing w:after="60"/>
                  </w:pPr>
                  <w:r>
                    <w:rPr>
                      <w:b/>
                    </w:rPr>
                    <w:t>Bewertung:</w:t>
                  </w:r>
                  <w:r>
                    <w:t xml:space="preserve"> </w:t>
                  </w:r>
                  <w:r>
                    <w:rPr>
                      <w:i/>
                    </w:rPr>
                    <w:t>arbeitetMitAn</w:t>
                  </w:r>
                  <w:r>
                    <w:t xml:space="preserve"> als n:m mit Kardinalitäten </w:t>
                  </w:r>
                  <w:r>
                    <w:rPr>
                      <w:b/>
                    </w:rPr>
                    <w:t>(1 BE)</w:t>
                  </w:r>
                  <w:r>
                    <w:t xml:space="preserve">, Attribut Rolle an der Raute </w:t>
                  </w:r>
                  <w:r>
                    <w:rPr>
                      <w:b/>
                    </w:rPr>
                    <w:t>(1 BE)</w:t>
                  </w:r>
                  <w:r>
                    <w:t xml:space="preserve">; </w:t>
                  </w:r>
                  <w:r>
                    <w:rPr>
                      <w:i/>
                    </w:rPr>
                    <w:t>vertritt</w:t>
                  </w:r>
                  <w:r>
                    <w:t xml:space="preserve"> als rekursiver Beziehungstyp an Ermittler </w:t>
                  </w:r>
                  <w:r>
                    <w:rPr>
                      <w:b/>
                    </w:rPr>
                    <w:t>(1 BE)</w:t>
                  </w:r>
                  <w:r>
                    <w:t xml:space="preserve"> mit 1:n </w:t>
                  </w:r>
                  <w:r>
                    <w:rPr>
                      <w:b/>
                    </w:rPr>
                    <w:t>(1 BE)</w:t>
                  </w:r>
                  <w:r>
                    <w:t xml:space="preserve"> und Rollen an den Kanten; Notation nach EH §7 (Verben, Kanten, keine neuen Entitätstypen für Rollen) </w:t>
                  </w:r>
                  <w:r>
                    <w:rPr>
                      <w:b/>
                    </w:rPr>
                    <w:t>(1 BE)</w:t>
                  </w:r>
                  <w:r>
                    <w:t>.</w:t>
                  </w: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P9</w:t>
                  </w:r>
                  <w:r>
                    <w:t xml:space="preserve">  Rolle als Attribut von Ermittler – jeder Ermittler hätte in allen Fällen dieselbe Rolle.</w:t>
                  </w:r>
                </w:p>
                <w:p>
                  <w:pPr>
                    <w:pStyle w:val="DDTabellentext"/>
                  </w:pPr>
                  <w:r>
                    <w:rPr>
                      <w:rFonts w:ascii="IBM Plex Mono" w:hAnsi="IBM Plex Mono" w:eastAsia="IBM Plex Mono" w:cs="IBM Plex Mono"/>
                      <w:b/>
                      <w:color w:val="B3261E"/>
                      <w:sz w:val="15"/>
                      <w:shd w:val="clear" w:color="auto" w:fill="F8E3DF"/>
                    </w:rPr>
                    <w:t>◆ P9</w:t>
                  </w:r>
                  <w:r>
                    <w:t xml:space="preserve">  Entitätstyp „Vertretung“ statt rekursiver Beziehung; </w:t>
                  </w:r>
                  <w:r>
                    <w:rPr>
                      <w:i/>
                    </w:rPr>
                    <w:t>arbeitetMitAn</w:t>
                  </w:r>
                  <w:r>
                    <w:t xml:space="preserve"> mit </w:t>
                  </w:r>
                  <w:r>
                    <w:rPr>
                      <w:i/>
                    </w:rPr>
                    <w:t>leitet</w:t>
                  </w:r>
                  <w:r>
                    <w:t xml:space="preserve"> zusammengelegt (zwei Rollen = zwei Beziehungstypen).</w:t>
                  </w:r>
                </w:p>
              </w:tc>
            </w:tr>
          </w:tbl>
          <w:p>
            <w:pPr>
              <w:pStyle w:val="DDAbstand"/>
            </w:pPr>
          </w:p>
        </w:tc>
      </w:tr>
    </w:tbl>
    <w:p>
      <w:pPr>
        <w:spacing w:after="0" w:line="160" w:lineRule="exact"/>
      </w:pPr>
    </w:p>
    <w:tbl>
      <w:tblPr>
        <w:tblLayout w:type="fixed"/>
        <w:tblLook w:firstColumn="1" w:firstRow="1" w:lastColumn="0" w:lastRow="0" w:noHBand="0" w:noVBand="1" w:val="04A0"/>
        <w:tblW w:w="9639" w:type="dxa"/>
      </w:tblPr>
      <w:tblGrid>
        <w:gridCol w:w="9639"/>
      </w:tblGrid>
      <w:tr>
        <w:trPr>
          <w:cantSplit/>
        </w:trPr>
        <w:tc>
          <w:tcPr>
            <w:tcW w:type="dxa" w:w="9638"/>
            <w:tcBorders>
              <w:top w:val="single" w:sz="6" w:space="0" w:color="2C5A85"/>
              <w:left w:val="single" w:sz="6" w:space="0" w:color="2C5A85"/>
              <w:bottom w:val="single" w:sz="6" w:space="0" w:color="2C5A85"/>
              <w:right w:val="single" w:sz="6" w:space="0" w:color="2C5A85"/>
            </w:tcBorders>
            <w:shd w:val="clear" w:color="auto" w:fill="E2EAF3"/>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C5A85"/>
                <w:sz w:val="15"/>
                <w:spacing w:val="16"/>
              </w:rPr>
              <w:t>SPUR IM LAB</w:t>
            </w:r>
            <w:r>
              <w:rPr>
                <w:rFonts w:ascii="Barlow Condensed SemiBold" w:hAnsi="Barlow Condensed SemiBold" w:eastAsia="Barlow Condensed SemiBold" w:cs="Barlow Condensed SemiBold"/>
                <w:color w:val="1C2B3A"/>
                <w:sz w:val="24"/>
              </w:rPr>
              <w:t xml:space="preserve">  Ermittlung 5.2 „Der Architekturwettbewerb“</w:t>
            </w:r>
          </w:p>
          <w:p>
            <w:pPr>
              <w:pStyle w:val="DDTabellentext"/>
            </w:pPr>
            <w:r>
              <w:rPr>
                <w:b/>
              </w:rPr>
              <w:t>Aufgaben:</w:t>
            </w:r>
            <w:r>
              <w:t xml:space="preserve"> A5-E2-01 … A5-E2-06 in der Stunde, A5-E2-07/08 als Hausaufgabe  ·  </w:t>
            </w:r>
            <w:r>
              <w:rPr>
                <w:b/>
              </w:rPr>
              <w:t>Werkzeug:</w:t>
            </w:r>
            <w:r>
              <w:t xml:space="preserve"> Bauplan-Tisch (Modi ergänzen und entwickeln)</w:t>
            </w:r>
          </w:p>
          <w:p>
            <w:pPr>
              <w:pStyle w:val="DDTabellentext"/>
            </w:pPr>
            <w:r>
              <w:t>Die Referenzlösung des Wettbewerbs erscheint im Lab erst, wenn du A5-E2-07 gelöst hast. Cold Case im Lab: A5-E2-CC „Das Phantom-Netz“.</w:t>
            </w:r>
          </w:p>
        </w:tc>
      </w:tr>
    </w:tbl>
    <w:p>
      <w:pPr>
        <w:spacing w:after="0" w:line="160" w:lineRule="exact"/>
      </w:pPr>
    </w:p>
    <w:tbl>
      <w:tblPr>
        <w:tblLayout w:type="fixed"/>
        <w:tblLook w:firstColumn="1" w:firstRow="1" w:lastColumn="0" w:lastRow="0" w:noHBand="0" w:noVBand="1" w:val="04A0"/>
        <w:tblW w:w="9639" w:type="dxa"/>
      </w:tblPr>
      <w:tblGrid>
        <w:gridCol w:w="9639"/>
      </w:tblGrid>
      <w:tr>
        <w:tc>
          <w:tcPr>
            <w:tcW w:type="dxa" w:w="9638"/>
            <w:tcBorders>
              <w:top w:val="dashed" w:sz="8" w:space="0" w:color="58626D"/>
              <w:left w:val="dashed" w:sz="8" w:space="0" w:color="58626D"/>
              <w:bottom w:val="dashed" w:sz="8" w:space="0" w:color="58626D"/>
              <w:right w:val="dashed" w:sz="8" w:space="0" w:color="58626D"/>
            </w:tcBorders>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46525E"/>
                <w:sz w:val="15"/>
                <w:spacing w:val="16"/>
              </w:rPr>
              <w:t>COLD CASE · OHNE PUNKTE</w:t>
            </w:r>
            <w:r>
              <w:rPr>
                <w:rFonts w:ascii="Barlow Condensed SemiBold" w:hAnsi="Barlow Condensed SemiBold" w:eastAsia="Barlow Condensed SemiBold" w:cs="Barlow Condensed SemiBold"/>
                <w:color w:val="1C2B3A"/>
                <w:sz w:val="24"/>
              </w:rPr>
              <w:t xml:space="preserve">  Das Phantom-Netz</w:t>
            </w:r>
          </w:p>
          <w:p>
            <w:pPr>
              <w:pStyle w:val="DDTabellentext"/>
            </w:pPr>
            <w:r>
              <w:t xml:space="preserve">Edda vermutet, dass das Phantom nicht allein arbeitet: „Eine Person ist </w:t>
            </w:r>
            <w:r>
              <w:rPr>
                <w:b/>
              </w:rPr>
              <w:t>in einem bestimmten Fall</w:t>
            </w:r>
            <w:r>
              <w:t xml:space="preserve"> Komplizin bzw. Komplize einer anderen Person.“ Modelliere diese Anforderung. Welche Art von Beziehung entsteht – und warum reicht ein zweiter rekursiver Beziehungstyp an Person ohne Fall nicht?</w:t>
            </w:r>
          </w:p>
          <w:tbl>
            <w:tblPr>
              <w:tblLayout w:type="fixed"/>
              <w:tblLook w:firstColumn="1" w:firstRow="1" w:lastColumn="0" w:lastRow="0" w:noHBand="0" w:noVBand="1" w:val="04A0"/>
              <w:tblW w:w="8845" w:type="dxa"/>
            </w:tblPr>
            <w:tblGrid>
              <w:gridCol w:w="8845"/>
            </w:tblGrid>
            <w:tr>
              <w:tc>
                <w:tcPr>
                  <w:tcW w:type="dxa" w:w="8844"/>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jc w:val="center"/>
                  </w:pPr>
                  <w:r>
                    <w:drawing>
                      <wp:inline xmlns:a="http://schemas.openxmlformats.org/drawingml/2006/main" xmlns:pic="http://schemas.openxmlformats.org/drawingml/2006/picture">
                        <wp:extent cx="2340000" cy="2430980"/>
                        <wp:docPr id="10" name="Picture 10"/>
                        <wp:cNvGraphicFramePr>
                          <a:graphicFrameLocks noChangeAspect="1"/>
                        </wp:cNvGraphicFramePr>
                        <a:graphic>
                          <a:graphicData uri="http://schemas.openxmlformats.org/drawingml/2006/picture">
                            <pic:pic>
                              <pic:nvPicPr>
                                <pic:cNvPr id="0" name="er_140340856076480.png"/>
                                <pic:cNvPicPr/>
                              </pic:nvPicPr>
                              <pic:blipFill>
                                <a:blip r:embed="rId20"/>
                                <a:stretch>
                                  <a:fillRect/>
                                </a:stretch>
                              </pic:blipFill>
                              <pic:spPr>
                                <a:xfrm>
                                  <a:off x="0" y="0"/>
                                  <a:ext cx="2340000" cy="2430980"/>
                                </a:xfrm>
                                <a:prstGeom prst="rect"/>
                              </pic:spPr>
                            </pic:pic>
                          </a:graphicData>
                        </a:graphic>
                      </wp:inline>
                    </w:drawing>
                  </w:r>
                </w:p>
                <w:p>
                  <w:pPr>
                    <w:pStyle w:val="DDTabellentext"/>
                    <w:spacing w:after="60"/>
                  </w:pPr>
                  <w:r>
                    <w:t xml:space="preserve">Ein </w:t>
                  </w:r>
                  <w:r>
                    <w:rPr>
                      <w:b/>
                    </w:rPr>
                    <w:t>ternärer</w:t>
                  </w:r>
                  <w:r>
                    <w:t xml:space="preserve"> Beziehungstyp mit zwei Kanten zu Person (Rollen Komplize/Hauptperson) und einer zu Fall – rekursiv und ternär zugleich. Ohne Fall ginge verloren, </w:t>
                  </w:r>
                  <w:r>
                    <w:rPr>
                      <w:b/>
                    </w:rPr>
                    <w:t>in welchem</w:t>
                  </w:r>
                  <w:r>
                    <w:t xml:space="preserve"> Fall jemand geholfen hat (dieselben zwei Personen können in einem Fall Komplizen sein, in einem anderen nicht).</w:t>
                  </w:r>
                </w:p>
              </w:tc>
            </w:tr>
          </w:tbl>
          <w:p>
            <w:pPr>
              <w:pStyle w:val="DDAbstand"/>
            </w:pPr>
          </w:p>
        </w:tc>
      </w:tr>
    </w:tbl>
    <w:p>
      <w:pPr>
        <w:spacing w:after="0" w:line="160" w:lineRule="exact"/>
      </w:pPr>
    </w:p>
    <w:sectPr w:rsidR="00FC693F" w:rsidRPr="0006063C" w:rsidSect="00034616">
      <w:headerReference w:type="default" r:id="rId9"/>
      <w:footerReference w:type="default" r:id="rId10"/>
      <w:pgSz w:w="11906" w:h="16838"/>
      <w:pgMar w:top="907" w:right="1134" w:bottom="907" w:left="1134"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819" w:val="center"/>
        <w:tab w:pos="9638" w:val="right"/>
      </w:tabs>
      <w:spacing w:after="0"/>
    </w:pPr>
    <w:r>
      <w:rPr>
        <w:rFonts w:ascii="IBM Plex Mono" w:hAnsi="IBM Plex Mono" w:eastAsia="IBM Plex Mono" w:cs="IBM Plex Mono"/>
        <w:color w:val="58626D"/>
        <w:sz w:val="14"/>
        <w:spacing w:val="16"/>
      </w:rPr>
      <w:t>AB 5.2</w:t>
      <w:tab/>
    </w:r>
    <w:r>
      <w:rPr>
        <w:rFonts w:ascii="IBM Plex Mono" w:hAnsi="IBM Plex Mono" w:eastAsia="IBM Plex Mono" w:cs="IBM Plex Mono"/>
        <w:b/>
        <w:color w:val="B3261E"/>
        <w:sz w:val="12"/>
        <w:spacing w:val="12"/>
      </w:rPr>
      <w:t>NUR LEHRKRAFT · LÖSUNG</w:t>
    </w:r>
    <w:r>
      <w:rPr>
        <w:rFonts w:ascii="IBM Plex Mono" w:hAnsi="IBM Plex Mono" w:eastAsia="IBM Plex Mono" w:cs="IBM Plex Mono"/>
        <w:color w:val="58626D"/>
        <w:sz w:val="14"/>
        <w:spacing w:val="16"/>
      </w:rPr>
      <w:tab/>
      <w:t xml:space="preserve">Seite </w:t>
    </w:r>
    <w:fldSimple w:instr="PAGE">
      <w:r>
        <w:rPr>
          <w:rFonts w:ascii="IBM Plex Mono" w:hAnsi="IBM Plex Mono" w:cs="IBM Plex Mono" w:eastAsia="IBM Plex Mono"/>
          <w:color w:val="58626D"/>
          <w:sz w:val="15"/>
        </w:rPr>
        <w:t>1</w:t>
      </w:r>
    </w:fldSimple>
    <w:r>
      <w:rPr>
        <w:rFonts w:ascii="IBM Plex Mono" w:hAnsi="IBM Plex Mono" w:eastAsia="IBM Plex Mono" w:cs="IBM Plex Mono"/>
        <w:color w:val="58626D"/>
        <w:sz w:val="14"/>
        <w:spacing w:val="16"/>
      </w:rPr>
      <w:t xml:space="preserve"> von </w:t>
    </w:r>
    <w:fldSimple w:instr="NUMPAGES">
      <w:r>
        <w:rPr>
          <w:rFonts w:ascii="IBM Plex Mono" w:hAnsi="IBM Plex Mono" w:cs="IBM Plex Mono" w:eastAsia="IBM Plex Mono"/>
          <w:color w:val="58626D"/>
          <w:sz w:val="15"/>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638" w:val="right"/>
      </w:tabs>
      <w:spacing w:after="0"/>
    </w:pPr>
    <w:r>
      <w:rPr>
        <w:rFonts w:ascii="IBM Plex Mono" w:hAnsi="IBM Plex Mono" w:eastAsia="IBM Plex Mono" w:cs="IBM Plex Mono"/>
        <w:color w:val="58626D"/>
        <w:sz w:val="14"/>
        <w:spacing w:val="16"/>
      </w:rPr>
      <w:t>DATENDETEKTEI WESERSTEDT</w:t>
      <w:tab/>
      <w:t>AKTE 5 · DER BAUPLAN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Barlow" w:hAnsi="Barlow" w:eastAsia="Barlow" w:cs="Barlow"/>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9" w:lineRule="auto"/>
    </w:pPr>
    <w:rPr>
      <w:rFonts w:ascii="Barlow" w:hAnsi="Barlow" w:eastAsia="Barlow" w:cs="Barlow"/>
      <w:color w:val="1C2B3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Barlow Condensed SemiBold" w:hAnsi="Barlow Condensed SemiBold" w:eastAsia="Barlow Condensed SemiBold" w:cs="Barlow Condensed SemiBold"/>
      <w:b w:val="0"/>
      <w:bCs/>
      <w:i w:val="0"/>
      <w:color w:val="1C2B3A"/>
      <w:sz w:val="34"/>
      <w:szCs w:val="28"/>
    </w:rPr>
  </w:style>
  <w:style w:type="paragraph" w:styleId="Heading2">
    <w:name w:val="heading 2"/>
    <w:basedOn w:val="Normal"/>
    <w:next w:val="Normal"/>
    <w:link w:val="Heading2Char"/>
    <w:uiPriority w:val="9"/>
    <w:unhideWhenUsed/>
    <w:qFormat/>
    <w:rsid w:val="00FC693F"/>
    <w:pPr>
      <w:keepNext/>
      <w:keepLines/>
      <w:spacing w:before="200" w:after="60"/>
      <w:outlineLvl w:val="1"/>
      <w:pBdr>
        <w:left w:val="single" w:sz="24" w:space="6" w:color="B3261E"/>
      </w:pBdr>
    </w:pPr>
    <w:rPr>
      <w:rFonts w:ascii="Barlow Condensed SemiBold" w:hAnsi="Barlow Condensed SemiBold" w:eastAsia="Barlow Condensed SemiBold" w:cs="Barlow Condensed SemiBold"/>
      <w:b w:val="0"/>
      <w:bCs/>
      <w:i w:val="0"/>
      <w:color w:val="1C2B3A"/>
      <w:sz w:val="27"/>
      <w:szCs w:val="26"/>
    </w:rPr>
  </w:style>
  <w:style w:type="paragraph" w:styleId="Heading3">
    <w:name w:val="heading 3"/>
    <w:basedOn w:val="Normal"/>
    <w:next w:val="Normal"/>
    <w:link w:val="Heading3Char"/>
    <w:uiPriority w:val="9"/>
    <w:unhideWhenUsed/>
    <w:qFormat/>
    <w:rsid w:val="00FC693F"/>
    <w:pPr>
      <w:keepNext/>
      <w:keepLines/>
      <w:spacing w:before="160" w:after="40"/>
      <w:outlineLvl w:val="2"/>
    </w:pPr>
    <w:rPr>
      <w:rFonts w:ascii="Barlow Condensed SemiBold" w:hAnsi="Barlow Condensed SemiBold" w:eastAsia="Barlow Condensed SemiBold" w:cs="Barlow Condensed SemiBold"/>
      <w:b w:val="0"/>
      <w:bCs/>
      <w:i w:val="0"/>
      <w:color w:val="1C2B3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80" w:line="240" w:lineRule="auto" w:before="0"/>
      <w:contextualSpacing/>
    </w:pPr>
    <w:rPr>
      <w:rFonts w:ascii="Barlow Condensed SemiBold" w:hAnsi="Barlow Condensed SemiBold" w:eastAsia="Barlow Condensed SemiBold" w:cs="Barlow Condensed SemiBold"/>
      <w:b w:val="0"/>
      <w:i w:val="0"/>
      <w:color w:val="1C2B3A"/>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QL-Code">
    <w:name w:val="SQL-Code"/>
    <w:basedOn w:val="Normal"/>
    <w:pPr>
      <w:keepLines/>
      <w:spacing w:before="60" w:after="100" w:line="240" w:lineRule="auto"/>
      <w:ind w:left="85" w:right="85"/>
      <w:pBdr>
        <w:top w:val="single" w:sz="8" w:space="4" w:color="ECEAE5"/>
        <w:left w:val="single" w:sz="8" w:space="4" w:color="ECEAE5"/>
        <w:bottom w:val="single" w:sz="8" w:space="4" w:color="ECEAE5"/>
        <w:right w:val="single" w:sz="8" w:space="4" w:color="ECEAE5"/>
      </w:pBdr>
      <w:shd w:val="clear" w:color="auto" w:fill="ECEAE5"/>
    </w:pPr>
    <w:rPr>
      <w:rFonts w:ascii="IBM Plex Mono" w:hAnsi="IBM Plex Mono" w:eastAsia="IBM Plex Mono" w:cs="IBM Plex Mono"/>
      <w:color w:val="1C2B3A"/>
      <w:sz w:val="18"/>
    </w:rPr>
  </w:style>
  <w:style w:type="table" w:customStyle="1" w:styleId="Ergebnistabelle">
    <w:name w:val="Ergebnistabelle"/>
    <w:basedOn w:val="TableGrid"/>
    <w:rPr>
      <w:sz w:val="18"/>
    </w:rPr>
  </w:style>
  <w:style w:type="table" w:customStyle="1" w:styleId="Datentabelle">
    <w:name w:val="Datentabelle"/>
    <w:basedOn w:val="TableGrid"/>
    <w:rPr>
      <w:sz w:val="18"/>
    </w:rPr>
  </w:style>
  <w:style w:type="paragraph" w:customStyle="1" w:styleId="DDTabellentext">
    <w:name w:val="DD Tabellentext"/>
    <w:basedOn w:val="Normal"/>
    <w:pPr>
      <w:spacing w:after="20" w:before="20" w:line="240" w:lineRule="auto"/>
    </w:pPr>
    <w:rPr>
      <w:sz w:val="19"/>
    </w:rPr>
  </w:style>
  <w:style w:type="paragraph" w:customStyle="1" w:styleId="DDSchreiblinie">
    <w:name w:val="DD Schreiblinie"/>
    <w:basedOn w:val="Normal"/>
    <w:pPr>
      <w:spacing w:before="220" w:after="0"/>
    </w:pPr>
    <w:rPr>
      <w:color w:val="8F8270"/>
    </w:rPr>
  </w:style>
  <w:style w:type="paragraph" w:customStyle="1" w:styleId="DDAbstand">
    <w:name w:val="DD Abstand"/>
    <w:basedOn w:val="Normal"/>
    <w:pPr>
      <w:spacing w:before="0" w:after="0" w:line="80" w:lineRule="exact"/>
    </w:pPr>
    <w:rPr>
      <w:sz w:val="4"/>
    </w:rPr>
  </w:style>
  <w:style w:type="paragraph" w:customStyle="1" w:styleId="DDFall-Einstieg">
    <w:name w:val="DD Fall-Einstieg"/>
    <w:basedOn w:val="Normal"/>
    <w:pPr>
      <w:spacing w:before="120" w:after="160"/>
      <w:ind w:left="198"/>
      <w:pBdr>
        <w:left w:val="single" w:sz="24" w:space="8" w:color="B3261E"/>
      </w:pBdr>
    </w:pPr>
    <w:rPr>
      <w:i/>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Der Architekturwettbewerb</dc:title>
  <dc:subject>Der Bauplan</dc:subject>
  <dc:creator>Datendetektei Weserstedt</dc:creator>
  <cp:keywords>Datendetektei; Datenbanken; Informatik</cp:keywords>
  <dc:description/>
  <cp:lastModifiedBy>Datendetektei Weserstedt</cp:lastModifiedBy>
  <cp:revision>1</cp:revision>
  <dcterms:created xsi:type="dcterms:W3CDTF">2013-12-23T23:15:00Z</dcterms:created>
  <dcterms:modified xsi:type="dcterms:W3CDTF">2013-12-23T23:15:00Z</dcterms:modified>
  <cp:category/>
  <dc:language>de-DE</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D-Akte">
    <vt:lpwstr>5</vt:lpwstr>
  </property>
  <property fmtid="{D5CDD505-2E9C-101B-9397-08002B2CF9AE}" pid="3" name="DD-Art">
    <vt:lpwstr>ab</vt:lpwstr>
  </property>
  <property fmtid="{D5CDD505-2E9C-101B-9397-08002B2CF9AE}" pid="4" name="DD-Datenbank">
    <vt:lpwstr>detektei</vt:lpwstr>
  </property>
  <property fmtid="{D5CDD505-2E9C-101B-9397-08002B2CF9AE}" pid="5" name="DD-Fassung">
    <vt:lpwstr>loesung</vt:lpwstr>
  </property>
  <property fmtid="{D5CDD505-2E9C-101B-9397-08002B2CF9AE}" pid="6" name="DD-Kompetenzen">
    <vt:lpwstr>{"AB 5.2/1": ["DB-K35"], "AB 5.2/2": ["DB-K35", "DB-K37", "DB-K38"], "AB 5.2/3": ["DB-K39", "DB-K37"], "AB 5.2/4": ["DB-K40"], "AB 5.2/5": ["DB-K35"], "AB 5.2/Abi-Ecke": ["DB-K39", "DB-K37", "DB-K36"], "AB 5.2/Cold Case": ["DB-K37", "DB-K38"]}</vt:lpwstr>
  </property>
  <property fmtid="{D5CDD505-2E9C-101B-9397-08002B2CF9AE}" pid="7" name="DD-Kuer">
    <vt:lpwstr>nein</vt:lpwstr>
  </property>
  <property fmtid="{D5CDD505-2E9C-101B-9397-08002B2CF9AE}" pid="8" name="DD-Material">
    <vt:lpwstr>AB 5.2</vt:lpwstr>
  </property>
</Properties>
</file>