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Nachschreibklausur Datenbanken (eA)</w:t>
            </w:r>
          </w:p>
          <w:p>
            <w:pPr>
              <w:pStyle w:val="DDTabellentext"/>
            </w:pPr>
            <w:r>
              <w:rPr>
                <w:color w:val="46525E"/>
              </w:rPr>
              <w:t>Kontext: Kostümverleih der Theater-AG</w:t>
            </w:r>
          </w:p>
          <w:p>
            <w:pPr>
              <w:pStyle w:val="DDTabellentext"/>
            </w:pPr>
            <w:r>
              <w:rPr>
                <w:color w:val="46525E"/>
                <w:sz w:val="18"/>
              </w:rPr>
              <w:t>Bearbeitungszeit: 135 Minuten · Hilfsmittel: Operatorenübersicht, Ergänzende Hinweise §8 (Anlage)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schreiben Sie auf jedem Blatt Ihren Namen (bei der Generalprobe Ihre Ermittlernummer). Die Bewertungseinheiten (BE) stehen hinter jeder Teilaufgabe.</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Mitglied</w:t>
            </w:r>
          </w:p>
          <w:tbl>
            <w:tblPr>
              <w:tblStyle w:val="Datentabelle"/>
              <w:jc w:val="left"/>
              <w:tblLayout w:type="fixed"/>
              <w:tblLook w:firstColumn="1" w:firstRow="1" w:lastColumn="0" w:lastRow="0" w:noHBand="0" w:noVBand="1" w:val="04A0"/>
              <w:tblW w:w="6237" w:type="dxa"/>
            </w:tblPr>
            <w:tblGrid>
              <w:gridCol w:w="1474"/>
              <w:gridCol w:w="1134"/>
              <w:gridCol w:w="1587"/>
              <w:gridCol w:w="1020"/>
              <w:gridCol w:w="102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PateNr</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Greta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Schwarting</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12a</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Jasper</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Haake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12b</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Rossi</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Tebbe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Lasse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11a</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Klattenhoff</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7c</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Lasse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7b</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Kostuem</w:t>
            </w:r>
          </w:p>
          <w:tbl>
            <w:tblPr>
              <w:tblStyle w:val="Datentabelle"/>
              <w:jc w:val="left"/>
              <w:tblLayout w:type="fixed"/>
              <w:tblLook w:firstColumn="1" w:firstRow="1" w:lastColumn="0" w:lastRow="0" w:noHBand="0" w:noVBand="1" w:val="04A0"/>
              <w:tblW w:w="7597" w:type="dxa"/>
            </w:tblPr>
            <w:tblGrid>
              <w:gridCol w:w="1360"/>
              <w:gridCol w:w="2381"/>
              <w:gridCol w:w="1134"/>
              <w:gridCol w:w="1587"/>
              <w:gridCol w:w="1134"/>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KostuemNr</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Groesse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Epoche</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Zustand</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Antike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Ritterrüstung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Mittelalter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Mittelalter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Reifrockkleid rosé</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Barock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Justaucorps rot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Barock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Gesandtenmantel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XL</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Barock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gut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Stueck</w:t>
            </w:r>
          </w:p>
          <w:tbl>
            <w:tblPr>
              <w:tblStyle w:val="Datentabelle"/>
              <w:jc w:val="left"/>
              <w:tblLayout w:type="fixed"/>
              <w:tblLook w:firstColumn="1" w:firstRow="1" w:lastColumn="0" w:lastRow="0" w:noHBand="0" w:noVBand="1" w:val="04A0"/>
              <w:tblW w:w="5670" w:type="dxa"/>
            </w:tblPr>
            <w:tblGrid>
              <w:gridCol w:w="1247"/>
              <w:gridCol w:w="2948"/>
              <w:gridCol w:w="1474"/>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StueckNr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Titel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Premiere</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Das Fest im Spiegelsaal</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2026-11-20</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Nebel über dem Deich</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2027-01-29</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Das Orakel am Kai</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2027-06-11</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Rolle</w:t>
            </w:r>
          </w:p>
          <w:tbl>
            <w:tblPr>
              <w:tblStyle w:val="Datentabelle"/>
              <w:jc w:val="left"/>
              <w:tblLayout w:type="fixed"/>
              <w:tblLook w:firstColumn="1" w:firstRow="1" w:lastColumn="0" w:lastRow="0" w:noHBand="0" w:noVBand="1" w:val="04A0"/>
              <w:tblW w:w="5216" w:type="dxa"/>
            </w:tblPr>
            <w:tblGrid>
              <w:gridCol w:w="1247"/>
              <w:gridCol w:w="2721"/>
              <w:gridCol w:w="1247"/>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RollenNr</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StueckNr</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Gräfin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Marquis</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Kammerdiener</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Ritter</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Gesandter aus Venedig</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Orakel</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Ausleihe</w:t>
            </w:r>
          </w:p>
          <w:tbl>
            <w:tblPr>
              <w:tblStyle w:val="Datentabelle"/>
              <w:jc w:val="left"/>
              <w:tblLayout w:type="fixed"/>
              <w:tblLook w:firstColumn="1" w:firstRow="1" w:lastColumn="0" w:lastRow="0" w:noHBand="0" w:noVBand="1" w:val="04A0"/>
              <w:tblW w:w="8391" w:type="dxa"/>
            </w:tblPr>
            <w:tblGrid>
              <w:gridCol w:w="1360"/>
              <w:gridCol w:w="1360"/>
              <w:gridCol w:w="1474"/>
              <w:gridCol w:w="1247"/>
              <w:gridCol w:w="1474"/>
              <w:gridCol w:w="1474"/>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AusleihNr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KostuemNr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MitgliedNr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RollenNr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Von</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Bis</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2026-09-14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2026-10-02</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2026-10-19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2026-10-23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9</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2026-11-02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2026-11-23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2027-01-15</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2027-02-15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2027-03-08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KostuemRolle</w:t>
            </w:r>
          </w:p>
          <w:p>
            <w:pPr>
              <w:pStyle w:val="DDTabellentext"/>
              <w:spacing w:after="60"/>
            </w:pPr>
            <w:r>
              <w:t>Für die Kostümplanung führt die Kostümwartin eine eigene Tabelle (Ausschnitt):</w:t>
            </w:r>
          </w:p>
          <w:tbl>
            <w:tblPr>
              <w:tblStyle w:val="Datentabelle"/>
              <w:jc w:val="left"/>
              <w:tblLayout w:type="fixed"/>
              <w:tblLook w:firstColumn="1" w:firstRow="1" w:lastColumn="0" w:lastRow="0" w:noHBand="0" w:noVBand="1" w:val="04A0"/>
              <w:tblW w:w="9582" w:type="dxa"/>
            </w:tblPr>
            <w:tblGrid>
              <w:gridCol w:w="1190"/>
              <w:gridCol w:w="1927"/>
              <w:gridCol w:w="1077"/>
              <w:gridCol w:w="1927"/>
              <w:gridCol w:w="2154"/>
              <w:gridCol w:w="1304"/>
            </w:tblGrid>
            <w:tr>
              <w:trPr>
                <w:tblHeader/>
              </w:trPr>
              <w:tc>
                <w:tcPr>
                  <w:tcW w:type="dxa" w:w="119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KostuemNr</w:t>
                  </w:r>
                </w:p>
              </w:tc>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07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RollenNr</w:t>
                  </w:r>
                </w:p>
              </w:tc>
              <w:tc>
                <w:tcPr>
                  <w:tcW w:type="dxa" w:w="192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Stueck</w:t>
                  </w:r>
                </w:p>
              </w:tc>
              <w:tc>
                <w:tcPr>
                  <w:tcW w:type="dxa" w:w="130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Premiere</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Königsmantel</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Mondkönig</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Gauklerkostüm</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Hofnärrin</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Narrenkappe mit Wams</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Hofnärrin</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7</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Ritterrüstung</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Ritter</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2027-03-12</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Kettenhemd</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Ritter</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Magdkleid</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Magd</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Burgfräuleinkleid</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Magd</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Gesandtenmantel</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Gesandter aus Venedig</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Justaucorps rot</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Gesandter aus Venedig</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Der Hof des Mondkönigs</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2027-03-19</w:t>
                  </w:r>
                </w:p>
              </w:tc>
            </w:tr>
            <w:tr>
              <w:tc>
                <w:tcPr>
                  <w:tcW w:type="dxa" w:w="119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17</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Justaucorps rot</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928"/>
                  <w:tcBorders>
                    <w:top w:val="single" w:sz="4" w:space="0" w:color="D8CCB6"/>
                    <w:left w:val="single" w:sz="4" w:space="0" w:color="D8CCB6"/>
                    <w:bottom w:val="single" w:sz="4" w:space="0" w:color="D8CCB6"/>
                    <w:right w:val="single" w:sz="4" w:space="0" w:color="D8CCB6"/>
                  </w:tcBorders>
                </w:tcPr>
                <w:p>
                  <w:pPr>
                    <w:pStyle w:val="DDTabellentext"/>
                  </w:pPr>
                  <w:r>
                    <w:rPr>
                      <w:sz w:val="17"/>
                    </w:rPr>
                    <w:t>Kammerdiener</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7"/>
                    </w:rPr>
                    <w:t>Das Fest im Spiegelsaal</w:t>
                  </w:r>
                </w:p>
              </w:tc>
              <w:tc>
                <w:tcPr>
                  <w:tcW w:type="dxa" w:w="1304"/>
                  <w:tcBorders>
                    <w:top w:val="single" w:sz="4" w:space="0" w:color="D8CCB6"/>
                    <w:left w:val="single" w:sz="4" w:space="0" w:color="D8CCB6"/>
                    <w:bottom w:val="single" w:sz="4" w:space="0" w:color="D8CCB6"/>
                    <w:right w:val="single" w:sz="4" w:space="0" w:color="D8CCB6"/>
                  </w:tcBorders>
                </w:tcPr>
                <w:p>
                  <w:pPr>
                    <w:pStyle w:val="DDTabellentext"/>
                  </w:pPr>
                  <w:r>
                    <w:rPr>
                      <w:sz w:val="17"/>
                    </w:rPr>
                    <w:t>2026-11-20</w:t>
                  </w:r>
                </w:p>
              </w:tc>
            </w:tr>
          </w:tbl>
          <w:p>
            <w:pPr>
              <w:pStyle w:val="DDAbstand"/>
            </w:pPr>
          </w:p>
        </w:tc>
      </w:tr>
    </w:tbl>
    <w:p>
      <w:pPr>
        <w:spacing w:after="0" w:line="160" w:lineRule="exact"/>
      </w:pPr>
    </w:p>
    <w:p>
      <w:pPr>
        <w:keepNext w:val="0"/>
        <w:pageBreakBefore/>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p>
      <w:pPr>
        <w:keepNext w:val="0"/>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p>
      <w:pPr>
        <w:keepNext w:val="0"/>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p>
      <w:pPr>
        <w:keepNext w:val="0"/>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p>
      <w:pPr>
        <w:keepNext w:val="0"/>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p>
      <w:pPr>
        <w:keepNext w:val="0"/>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p>
      <w:pPr>
        <w:keepNext w:val="0"/>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p>
      <w:pPr>
        <w:pStyle w:val="Heading1"/>
        <w:pageBreakBefore/>
      </w:pPr>
      <w:r>
        <w:t>Aufgabe B · Aufführungsplanung und Schulhomepage (30 BE)</w:t>
      </w:r>
    </w:p>
    <w:p>
      <w:r>
        <w:t>Die Theater-AG (Aufgabe A) möchte auch ihre Aufführungen mit der Datenbank planen.</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„Aufführungsplanung“</w:t>
            </w:r>
          </w:p>
          <w:p>
            <w:pPr>
              <w:pStyle w:val="DDTabellentext"/>
              <w:spacing w:after="60"/>
            </w:pPr>
            <w:r>
              <w:t>Die Theater-AG plant ihre Aufführungen. Jedes Stück (Nummer, Titel) wird mehrmals aufgeführt; eine Aufführung hat eine Nummer, ein Datum und eine Uhrzeit und findet an genau einem Spielort statt (Nummer, Bezeichnung, Anzahl der Plätze). Zu jedem Stück gehören Rollen (Nummer, Name) und Requisiten (Nummer, Bezeichnung); jede Rolle und jedes Requisit gehört zu genau einem Stück. Gespeichert wird, welches Mitglied (Nummer, Vorname, Nachname, Klasse) in welcher Aufführung welche Rolle spielt. Ein Mitglied kann in einer Aufführung mehrere kleine Rollen übernehmen, und manche Rollen (z. B. „Chor“) werden in einer Aufführung von mehreren Mitgliedern gespielt. Für jedes Mitglied kann es eine Zweitbesetzung geben, die bei Krankheit einspringt; ein Mitglied kann Zweitbesetzung für mehrere andere sein. Außerdem helfen Mitglieder bei Aufführungen hinter der Bühne mit; dabei wird ihre Aufgabe gespeichert (z. B. „Licht“).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5 · Ausschnitt eines Relationenschemas</w:t>
            </w:r>
          </w:p>
          <w:p>
            <w:pPr>
              <w:spacing w:after="100"/>
            </w:pPr>
            <w:r>
              <w:rPr>
                <w:rFonts w:ascii="IBM Plex Mono" w:hAnsi="IBM Plex Mono" w:eastAsia="IBM Plex Mono" w:cs="IBM Plex Mono"/>
                <w:sz w:val="18"/>
              </w:rPr>
              <w:t>Werkstatt(</w:t>
            </w:r>
            <w:r>
              <w:rPr>
                <w:rFonts w:ascii="IBM Plex Mono" w:hAnsi="IBM Plex Mono" w:eastAsia="IBM Plex Mono" w:cs="IBM Plex Mono"/>
                <w:sz w:val="18"/>
                <w:u w:val="single"/>
              </w:rPr>
              <w:t>WerkstattNr</w:t>
            </w:r>
            <w:r>
              <w:rPr>
                <w:rFonts w:ascii="IBM Plex Mono" w:hAnsi="IBM Plex Mono" w:eastAsia="IBM Plex Mono" w:cs="IBM Plex Mono"/>
                <w:sz w:val="18"/>
              </w:rPr>
              <w:t>, Bezeichnung)</w:t>
            </w:r>
          </w:p>
          <w:p>
            <w:pPr>
              <w:spacing w:after="100"/>
            </w:pPr>
            <w:r>
              <w:rPr>
                <w:rFonts w:ascii="IBM Plex Mono" w:hAnsi="IBM Plex Mono" w:eastAsia="IBM Plex Mono" w:cs="IBM Plex Mono"/>
                <w:sz w:val="18"/>
              </w:rPr>
              <w:t>repariert(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KostuemNr,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WerkstattNr</w:t>
            </w:r>
            <w:r>
              <w:rPr>
                <w:rFonts w:ascii="IBM Plex Mono" w:hAnsi="IBM Plex Mono" w:eastAsia="IBM Plex Mono" w:cs="IBM Plex Mono"/>
                <w:sz w:val="18"/>
              </w:rPr>
              <w:t>, Datum)</w:t>
            </w:r>
          </w:p>
          <w:p>
            <w:pPr>
              <w:pStyle w:val="DDTabellentext"/>
              <w:spacing w:after="60"/>
            </w:pPr>
            <w:r>
              <w:rPr>
                <w:rFonts w:ascii="IBM Plex Mono" w:hAnsi="IBM Plex Mono" w:eastAsia="IBM Plex Mono" w:cs="IBM Plex Mono"/>
                <w:color w:val="B3261E"/>
              </w:rPr>
              <w:t>↑</w:t>
            </w:r>
            <w:r>
              <w:t xml:space="preserve">KostuemNr verweist auf Kostuem, </w:t>
            </w:r>
            <w:r>
              <w:rPr>
                <w:rFonts w:ascii="IBM Plex Mono" w:hAnsi="IBM Plex Mono" w:eastAsia="IBM Plex Mono" w:cs="IBM Plex Mono"/>
                <w:color w:val="B3261E"/>
              </w:rPr>
              <w:t>↑</w:t>
            </w:r>
            <w:r>
              <w:t xml:space="preserve">MitgliedNr auf Mitglied (Material 1), </w:t>
            </w:r>
            <w:r>
              <w:rPr>
                <w:rFonts w:ascii="IBM Plex Mono" w:hAnsi="IBM Plex Mono" w:eastAsia="IBM Plex Mono" w:cs="IBM Plex Mono"/>
                <w:color w:val="B3261E"/>
              </w:rPr>
              <w:t>↑</w:t>
            </w:r>
            <w:r>
              <w:t>WerkstattNr auf Werkstatt.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6 · Veröffentlichung auf der Schulhomepage</w:t>
            </w:r>
          </w:p>
          <w:p>
            <w:pPr>
              <w:pStyle w:val="DDTabellentext"/>
              <w:spacing w:after="60"/>
            </w:pPr>
            <w:r>
              <w:t>Die Theater-AG möchte auf der Schulhomepage Fotos aller Aufführungen veröffentlichen, außerdem eine Mitgliederliste mit Vorname, Nachname, Klasse und den gespielten Rollen. Die Fotos zeigen Mitglieder auf der Bühne und im Publikum.</w:t>
            </w:r>
          </w:p>
        </w:tc>
      </w:tr>
    </w:tbl>
    <w:p>
      <w:pPr>
        <w:spacing w:after="0" w:line="160" w:lineRule="exact"/>
      </w:pPr>
    </w:p>
    <w:p>
      <w:pPr>
        <w:keepNext w:val="0"/>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p>
      <w:pPr>
        <w:keepNext w:val="0"/>
        <w:tabs>
          <w:tab w:pos="454" w:val="left"/>
        </w:tabs>
        <w:spacing w:before="160"/>
        <w:ind w:left="454" w:hanging="454"/>
      </w:pPr>
      <w:r>
        <w:rPr>
          <w:b/>
        </w:rPr>
        <w:t>b)</w:t>
        <w:tab/>
      </w:r>
      <w:r>
        <w:rPr>
          <w:b/>
        </w:rPr>
        <w:t>Begründen</w:t>
      </w:r>
      <w:r>
        <w:t xml:space="preserve"> Sie die Kardinalitäten der Beziehungstypen findetStattIn (Spielort – Aufführung) und vertritt im Sachzusammenhang. [3 BE]</w:t>
      </w:r>
    </w:p>
    <w:p>
      <w:pPr>
        <w:keepNext w:val="0"/>
        <w:tabs>
          <w:tab w:pos="454" w:val="left"/>
        </w:tabs>
        <w:spacing w:before="160"/>
        <w:ind w:left="454" w:hanging="454"/>
      </w:pPr>
      <w:r>
        <w:rPr>
          <w:b/>
        </w:rPr>
        <w:t>c)</w:t>
        <w:tab/>
      </w:r>
      <w:r>
        <w:t xml:space="preserve">Ein Mitglied der AG schlägt vor, die Rolle einfach als Attribut von Mitglied zu speichern. </w:t>
      </w:r>
      <w:r>
        <w:rPr>
          <w:b/>
        </w:rPr>
        <w:t>Beurteilen</w:t>
      </w:r>
      <w:r>
        <w:t xml:space="preserve"> Sie diesen Vorschlag im Vergleich zur Modellierung von Rolle als Entitätstyp. [2 BE]</w:t>
      </w:r>
    </w:p>
    <w:p>
      <w:pPr>
        <w:keepNext w:val="0"/>
        <w:tabs>
          <w:tab w:pos="454" w:val="left"/>
        </w:tabs>
        <w:spacing w:before="160"/>
        <w:ind w:left="454" w:hanging="454"/>
      </w:pPr>
      <w:r>
        <w:rPr>
          <w:b/>
        </w:rPr>
        <w:t>d)</w:t>
        <w:tab/>
      </w:r>
      <w:r>
        <w:rPr>
          <w:b/>
        </w:rPr>
        <w:t>Erstellen</w:t>
      </w:r>
      <w:r>
        <w:t xml:space="preserve"> Sie zu Ihrem ER-Modell aus Teilaufgabe a) das Relationenschema in Kurzschreibweise. [6 BE]</w:t>
      </w:r>
    </w:p>
    <w:p>
      <w:pPr>
        <w:keepNext w:val="0"/>
        <w:tabs>
          <w:tab w:pos="454" w:val="left"/>
        </w:tabs>
        <w:spacing w:before="160"/>
        <w:ind w:left="454" w:hanging="454"/>
      </w:pPr>
      <w:r>
        <w:rPr>
          <w:b/>
        </w:rPr>
        <w:t>e)</w:t>
        <w:tab/>
      </w:r>
      <w:r>
        <w:rPr>
          <w:b/>
        </w:rPr>
        <w:t>Begründen</w:t>
      </w:r>
      <w:r>
        <w:t xml:space="preserve"> Sie die Wahl des Primärschlüssels der Relation, die aus dem Beziehungstyp spielt entsteht. [2 BE]</w:t>
      </w:r>
    </w:p>
    <w:p>
      <w:pPr>
        <w:keepNext w:val="0"/>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p>
      <w:pPr>
        <w:keepNext w:val="0"/>
        <w:tabs>
          <w:tab w:pos="454" w:val="left"/>
        </w:tabs>
        <w:spacing w:before="160"/>
        <w:ind w:left="454" w:hanging="454"/>
      </w:pPr>
      <w:r>
        <w:rPr>
          <w:b/>
        </w:rPr>
        <w:t>g)</w:t>
        <w:tab/>
      </w:r>
      <w:r>
        <w:rPr>
          <w:b/>
        </w:rPr>
        <w:t>Beurteilen</w:t>
      </w:r>
      <w:r>
        <w:t xml:space="preserve"> Sie das Vorhaben der Theater-AG (Material 6) unter Bezug auf die Grundsätze Einwilligung, Zweckbindung und Datenminimierung und nennen Sie eine geeignete Maßnahme. [4 BE]</w:t>
      </w:r>
    </w:p>
    <w:p>
      <w:r>
        <w:br w:type="page"/>
      </w:r>
    </w:p>
    <w:p>
      <w:pPr>
        <w:pStyle w:val="Heading1"/>
      </w:pPr>
      <w:r>
        <w:t>Anlage · Ergänzende Hinweise §8 – Datenbankabfragen</w:t>
      </w:r>
    </w:p>
    <w:p>
      <w:pPr/>
      <w:r>
        <w:rPr>
          <w:i/>
        </w:rPr>
        <w:t>Auszug aus den Ergänzenden Hinweisen zum Kerncurriculum Informatik (Niedersächsisches Kultusministerium, Neufassung Juni 2025), Abschnitt 8 – im Abitur als Hilfsmittel zugelassen.</w:t>
      </w:r>
    </w:p>
    <w:p>
      <w:pPr/>
      <w:r>
        <w:t>In den Aufgabenstellungen und in den erwarteten Lösungen wird die Abfragesprache SQL mit dem folgenden Sprachumfang unter Berücksichtigung der angegebenen Operatoren und Aggregatfunktionen verwendet. Verschachtelte SQL-Anweisungen werden im Rahmen der zentralen Prüfungsaufgaben nicht thematisiert.</w:t>
      </w:r>
    </w:p>
    <w:p>
      <w:pPr/>
      <w:r>
        <w:rPr>
          <w:b/>
        </w:rPr>
        <w:t>SELECT-Anweisung:</w:t>
      </w:r>
    </w:p>
    <w:p>
      <w:pPr>
        <w:spacing w:after="0"/>
        <w:ind w:left="280"/>
      </w:pPr>
      <w:r>
        <w:rPr>
          <w:rFonts w:ascii="IBM Plex Mono" w:hAnsi="IBM Plex Mono" w:eastAsia="IBM Plex Mono" w:cs="IBM Plex Mono"/>
          <w:sz w:val="19"/>
        </w:rPr>
        <w:t>SELECT [DISTINCT] * | spalte1 [AS s1], spalte2 [AS s2], …</w:t>
      </w:r>
    </w:p>
    <w:p>
      <w:pPr>
        <w:spacing w:after="0"/>
        <w:ind w:left="280"/>
      </w:pPr>
      <w:r>
        <w:rPr>
          <w:rFonts w:ascii="IBM Plex Mono" w:hAnsi="IBM Plex Mono" w:eastAsia="IBM Plex Mono" w:cs="IBM Plex Mono"/>
          <w:sz w:val="19"/>
        </w:rPr>
        <w:t>FROM tabelle1 [t1], tabelle2 [t2], …</w:t>
      </w:r>
    </w:p>
    <w:p>
      <w:pPr>
        <w:spacing w:after="0"/>
        <w:ind w:left="280"/>
      </w:pPr>
      <w:r>
        <w:rPr>
          <w:rFonts w:ascii="IBM Plex Mono" w:hAnsi="IBM Plex Mono" w:eastAsia="IBM Plex Mono" w:cs="IBM Plex Mono"/>
          <w:sz w:val="19"/>
        </w:rPr>
        <w:t>[WHERE bedingung1 (AND | OR) bedingung2 (AND | OR) … ]</w:t>
      </w:r>
    </w:p>
    <w:p>
      <w:pPr>
        <w:spacing w:after="0"/>
        <w:ind w:left="280"/>
      </w:pPr>
      <w:r>
        <w:rPr>
          <w:rFonts w:ascii="IBM Plex Mono" w:hAnsi="IBM Plex Mono" w:eastAsia="IBM Plex Mono" w:cs="IBM Plex Mono"/>
          <w:sz w:val="19"/>
        </w:rPr>
        <w:t>[GROUP BY spalte1, spalte2, …</w:t>
      </w:r>
    </w:p>
    <w:p>
      <w:pPr>
        <w:spacing w:after="0"/>
        <w:ind w:left="280"/>
      </w:pPr>
      <w:r>
        <w:rPr>
          <w:rFonts w:ascii="IBM Plex Mono" w:hAnsi="IBM Plex Mono" w:eastAsia="IBM Plex Mono" w:cs="IBM Plex Mono"/>
          <w:sz w:val="19"/>
        </w:rPr>
        <w:t>[HAVING gruppenBedingung1 (AND | OR) gruppenBedingung2 (AND | OR) …]]</w:t>
      </w:r>
    </w:p>
    <w:p>
      <w:pPr>
        <w:spacing w:after="0"/>
        <w:ind w:left="280"/>
      </w:pPr>
      <w:r>
        <w:rPr>
          <w:rFonts w:ascii="IBM Plex Mono" w:hAnsi="IBM Plex Mono" w:eastAsia="IBM Plex Mono" w:cs="IBM Plex Mono"/>
          <w:sz w:val="19"/>
        </w:rPr>
        <w:t>[ORDER BY spalte1 [ASC | DESC], spalte2 [ASC | DESC], …]</w:t>
      </w:r>
    </w:p>
    <w:p>
      <w:pPr>
        <w:spacing w:after="120"/>
        <w:ind w:left="280"/>
      </w:pPr>
      <w:r>
        <w:rPr>
          <w:rFonts w:ascii="IBM Plex Mono" w:hAnsi="IBM Plex Mono" w:eastAsia="IBM Plex Mono" w:cs="IBM Plex Mono"/>
          <w:sz w:val="19"/>
        </w:rPr>
        <w:t>[LIMIT anzahl]</w:t>
      </w:r>
    </w:p>
    <w:p>
      <w:pPr/>
      <w:r>
        <w:t>Angaben in eckigen Klammern sind optional. Spalten können Attribute, Aggregatfunktionen oder Berechnungen sein. Bei GROUP BY und ORDER BY ist auch die Angabe eines Alias möglich.</w:t>
      </w:r>
    </w:p>
    <w:p>
      <w:pPr/>
      <w:r>
        <w:rPr>
          <w:b/>
        </w:rPr>
        <w:t xml:space="preserve">Operatoren für Berechnungen: </w:t>
      </w:r>
      <w:r>
        <w:t>+, -, *, /</w:t>
      </w:r>
    </w:p>
    <w:p>
      <w:pPr/>
      <w:r>
        <w:rPr>
          <w:b/>
        </w:rPr>
        <w:t xml:space="preserve">Operatoren für Vergleiche in Bedingungen: </w:t>
      </w:r>
      <w:r>
        <w:t>=, != (ungleich), &gt;, &lt;, &gt;=, &lt;=, NOT, IS NULL, IN, BETWEEN, LIKE (mit den Platzhaltern _ (für genau ein Zeichen) und % (für beliebig viele Zeichen))</w:t>
      </w:r>
    </w:p>
    <w:p>
      <w:pPr/>
      <w:r>
        <w:rPr>
          <w:b/>
        </w:rPr>
        <w:t xml:space="preserve">Aggregatfunktionen: </w:t>
      </w:r>
      <w:r>
        <w:t>AVG, COUNT, MAX, MIN, SUM</w:t>
      </w:r>
    </w:p>
    <w:p>
      <w:pPr/>
      <w:r>
        <w:rPr>
          <w:b/>
        </w:rPr>
        <w:t xml:space="preserve">Hinweis zur Verwendung von GROUP BY: </w:t>
      </w:r>
      <w:r>
        <w:t>Bei einer Gruppierung müssen alle Spalten in der SELECT-Klausel entweder von einer Aggregatfunktion umschlossen oder explizit in der GROUP BY-Klausel aufgezählt sein.</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NK-eA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klausur</vt:lpwstr>
  </property>
  <property fmtid="{D5CDD505-2E9C-101B-9397-08002B2CF9AE}" pid="4" name="DD-Datenbank">
    <vt:lpwstr>pruefung/kostuemverleih</vt:lpwstr>
  </property>
  <property fmtid="{D5CDD505-2E9C-101B-9397-08002B2CF9AE}" pid="5" name="DD-Fassung">
    <vt:lpwstr>schueler</vt:lpwstr>
  </property>
  <property fmtid="{D5CDD505-2E9C-101B-9397-08002B2CF9AE}" pid="6" name="DD-Kompetenzen">
    <vt:lpwstr>{"NK-A-a": ["DB-K03", "DB-K04", "DB-K05"], "NK-A-b": ["DB-K02"], "NK-A-c": ["DB-K07", "DB-K08", "DB-K09", "DB-K10"], "NK-A-d": ["DB-K18", "DB-K23"], "NK-A-e": ["DB-K16", "DB-K24"], "NK-A-f": ["DB-K22", "DB-K26", "DB-K27"], "NK-A-g": ["DB-K19", "DB-K24", "DB-K28"], "NK-A-h": ["DB-K30"], "NK-B-a": ["DB-K35", "DB-K36", "DB-K37", "DB-K38", "DB-K47"], "NK-B-b": ["DB-K34"], "NK-B-c": ["DB-K40"], "NK-B-d": ["DB-K04", "DB-K41"], "NK-B-e": ["DB-K42"], "NK-B-f": ["DB-K43"], "NK-B-g": ["DB-K44", "DB-K45", "DB-K46"]}</vt:lpwstr>
  </property>
  <property fmtid="{D5CDD505-2E9C-101B-9397-08002B2CF9AE}" pid="7" name="DD-Kuer">
    <vt:lpwstr>nein</vt:lpwstr>
  </property>
  <property fmtid="{D5CDD505-2E9C-101B-9397-08002B2CF9AE}" pid="8" name="DD-Material">
    <vt:lpwstr>NK-eA</vt:lpwstr>
  </property>
</Properties>
</file>