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804"/>
        <w:gridCol w:w="2835"/>
      </w:tblGrid>
      <w:tr>
        <w:tc>
          <w:tcPr>
            <w:tcW w:type="dxa" w:w="6803"/>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46525E"/>
                <w:sz w:val="15"/>
                <w:spacing w:val="16"/>
              </w:rPr>
              <w:t>INFORMATIK · GRUNDLEGENDES ANFORDERUNGSNIVEAU (GA)</w:t>
            </w:r>
          </w:p>
          <w:p>
            <w:pPr>
              <w:pStyle w:val="DDTabellentext"/>
            </w:pPr>
            <w:r>
              <w:rPr>
                <w:rFonts w:ascii="Barlow Condensed SemiBold" w:hAnsi="Barlow Condensed SemiBold" w:eastAsia="Barlow Condensed SemiBold" w:cs="Barlow Condensed SemiBold"/>
                <w:sz w:val="38"/>
              </w:rPr>
              <w:t>Generalprobe Datenbanken (gA)</w:t>
            </w:r>
          </w:p>
          <w:p>
            <w:pPr>
              <w:pStyle w:val="DDTabellentext"/>
            </w:pPr>
            <w:r>
              <w:rPr>
                <w:color w:val="46525E"/>
              </w:rPr>
              <w:t>Die Ermittlerprüfung · Kontext: Mensa-Vorbestellsystem</w:t>
            </w:r>
          </w:p>
          <w:p>
            <w:pPr>
              <w:pStyle w:val="DDTabellentext"/>
            </w:pPr>
            <w:r>
              <w:rPr>
                <w:color w:val="46525E"/>
                <w:sz w:val="18"/>
              </w:rPr>
              <w:t>Bearbeitungszeit: 60 Minuten · Hilfsmittel: Operatorenübersicht, Ergänzende Hinweise §8 (Anlage) · Gesamt: 25 BE</w:t>
            </w:r>
          </w:p>
        </w:tc>
        <w:tc>
          <w:tcPr>
            <w:tcW w:type="dxa" w:w="2835"/>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B3261E"/>
                <w:sz w:val="16"/>
              </w:rPr>
              <w:t>ERWARTUNGSHORIZONT · NUR LEHRKRAFT</w:t>
            </w:r>
          </w:p>
        </w:tc>
      </w:tr>
    </w:tbl>
    <w:p>
      <w:pPr>
        <w:spacing w:after="0" w:line="160" w:lineRule="exact"/>
      </w:pPr>
    </w:p>
    <w:p>
      <w:r>
        <w:rPr>
          <w:b/>
        </w:rPr>
        <w:t>Hinweise zur Bewertung.</w:t>
      </w:r>
      <w:r>
        <w:t xml:space="preserve"> Die Kernpunkte nennen, was für die volle Punktzahl erwartet wird; die Teilpunkte in Klammern sind Richtwerte. Gleichwertige Lösungen (andere Bezeichner, andere Reihenfolge der Bedingungen, </w:t>
      </w:r>
      <w:r>
        <w:rPr>
          <w:rFonts w:ascii="IBM Plex Mono" w:hAnsi="IBM Plex Mono" w:eastAsia="IBM Plex Mono" w:cs="IBM Plex Mono"/>
          <w:sz w:val="19"/>
        </w:rPr>
        <w:t>BETWEEN</w:t>
      </w:r>
      <w:r>
        <w:t xml:space="preserve"> statt zwei Vergleichen …) werden voll anerkannt. Alle SQL-Musterlösungen sind nach EH 2025 §8 formuliert (Verbund nur implizit, GROUP-BY-Regel, kein Alias in HAVING, </w:t>
      </w:r>
      <w:r>
        <w:rPr>
          <w:rFonts w:ascii="IBM Plex Mono" w:hAnsi="IBM Plex Mono" w:eastAsia="IBM Plex Mono" w:cs="IBM Plex Mono"/>
          <w:sz w:val="19"/>
        </w:rPr>
        <w:t>!=</w:t>
      </w:r>
      <w:r>
        <w:t xml:space="preserve"> statt </w:t>
      </w:r>
      <w:r>
        <w:rPr>
          <w:rFonts w:ascii="IBM Plex Mono" w:hAnsi="IBM Plex Mono" w:eastAsia="IBM Plex Mono" w:cs="IBM Plex Mono"/>
          <w:sz w:val="19"/>
        </w:rPr>
        <w:t>&lt;&gt;</w:t>
      </w:r>
      <w:r>
        <w:t>) und maschinell auf der Prüfungs-Datenbank geprüft; die Ergebnistabellen stammen aus der Datenbank. Eine Abfrage, die in SQLite läuft, aber die EH verletzt (z. B. Spalte weder gruppiert noch aggregiert), erhält für den betroffenen Kernpunkt keinen Punkt. Typische Fehler sind mit den Fallen-Nummern P1–P10 markiert.</w:t>
      </w:r>
    </w:p>
    <w:p>
      <w:pPr>
        <w:pStyle w:val="Heading2"/>
      </w:pPr>
      <w:r>
        <w:t>Bewertungsbogen</w:t>
      </w:r>
    </w:p>
    <w:tbl>
      <w:tblPr>
        <w:tblStyle w:val="Datentabelle"/>
        <w:tblLayout w:type="fixed"/>
        <w:tblLook w:firstColumn="1" w:firstRow="1" w:lastColumn="0" w:lastRow="0" w:noHBand="0" w:noVBand="1" w:val="04A0"/>
        <w:tblW w:w="9639" w:type="dxa"/>
      </w:tblPr>
      <w:tblGrid>
        <w:gridCol w:w="680"/>
        <w:gridCol w:w="6690"/>
        <w:gridCol w:w="567"/>
        <w:gridCol w:w="567"/>
        <w:gridCol w:w="567"/>
        <w:gridCol w:w="567"/>
      </w:tblGrid>
      <w:tr>
        <w:trPr>
          <w:tblHeader/>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Teil</w:t>
            </w: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Erwartete Prüfungsleistungen</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BE</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a)</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xml:space="preserve">▸ </w:t>
            </w:r>
            <w:r>
              <w:rPr>
                <w:u w:val="single"/>
              </w:rPr>
              <w:t>BestellNr</w:t>
            </w:r>
            <w:r>
              <w:t xml:space="preserve"> als Primärschlüssel: identifiziert jede Bestellung eindeutig (1)</w:t>
            </w:r>
          </w:p>
          <w:p>
            <w:pPr>
              <w:pStyle w:val="DDTabellentext"/>
              <w:spacing w:after="60"/>
            </w:pPr>
            <w:r>
              <w:t xml:space="preserve">▸ </w:t>
            </w:r>
            <w:r>
              <w:rPr>
                <w:rFonts w:ascii="IBM Plex Mono" w:hAnsi="IBM Plex Mono" w:eastAsia="IBM Plex Mono" w:cs="IBM Plex Mono"/>
                <w:color w:val="B3261E"/>
              </w:rPr>
              <w:t>↑</w:t>
            </w:r>
            <w:r>
              <w:t xml:space="preserve">PersonNr und </w:t>
            </w:r>
            <w:r>
              <w:rPr>
                <w:rFonts w:ascii="IBM Plex Mono" w:hAnsi="IBM Plex Mono" w:eastAsia="IBM Plex Mono" w:cs="IBM Plex Mono"/>
                <w:color w:val="B3261E"/>
              </w:rPr>
              <w:t>↑</w:t>
            </w:r>
            <w:r>
              <w:t>AngebotNr als Fremdschlüssel mit Verweis auf Person.PersonNr bzw. Angebot.AngebotNr – wer hat welches Tagesangebot bestellt (1)</w:t>
            </w:r>
          </w:p>
          <w:p>
            <w:pPr>
              <w:pStyle w:val="DDTabellentext"/>
              <w:spacing w:after="60"/>
            </w:pPr>
            <w:r>
              <w:t>▸ (PersonNr, AngebotNr) nicht geeignet, weil eine Person dasselbe Angebot mehrfach bestellen darf (1)</w:t>
            </w:r>
          </w:p>
          <w:p>
            <w:pPr>
              <w:pStyle w:val="DDTabellentext"/>
              <w:spacing w:after="60"/>
            </w:pPr>
            <w:r>
              <w:t>▸ Beleg an den Daten: Arne Demir (PersonNr 6) hat Angebot 45 zweimal bestellt (BestellNr 204 und 209)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b)</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Redundanz benannt: Name/Klasse je Person, Datum, Gericht und Preis je Gericht mehrfach gespeichert (1)</w:t>
            </w:r>
          </w:p>
          <w:p>
            <w:pPr>
              <w:pStyle w:val="DDTabellentext"/>
              <w:spacing w:after="60"/>
            </w:pPr>
            <w:r>
              <w:t>▸ Änderungsanomalie am Datensatz: Chili sin Carne in Zeile 216 mit 3,25 statt 3,50; Insa Gerdts mit 10b (206) und 10c (214) (1)</w:t>
            </w:r>
          </w:p>
          <w:p>
            <w:pPr>
              <w:pStyle w:val="DDTabellentext"/>
              <w:spacing w:after="60"/>
            </w:pPr>
            <w:r>
              <w:t>▸ Löschanomalie am Datensatz: Löschen von Bestellung 217 entfernt die einzige Angabe zur Tomatensuppe (und zu Ida Bultjer) (1)</w:t>
            </w:r>
          </w:p>
          <w:p>
            <w:pPr>
              <w:pStyle w:val="DDTabellentext"/>
              <w:spacing w:after="60"/>
            </w:pPr>
            <w:r>
              <w:t>▸ Einfügeanomalie: neues Gericht oder neue Person ohne Bestellung nicht eintragbar (1)</w:t>
            </w:r>
          </w:p>
          <w:p>
            <w:pPr>
              <w:pStyle w:val="DDTabellentext"/>
              <w:spacing w:after="60"/>
            </w:pPr>
            <w:r>
              <w:t>▸ Zusammenhang: Anomalien entstehen, weil dieselbe Information mehrfach bzw. nur zusammen mit einer Bestellung gespeichert wird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c)</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Verbund von Gericht und Angebot über GerichtNr (1)</w:t>
            </w:r>
          </w:p>
          <w:p>
            <w:pPr>
              <w:pStyle w:val="DDTabellentext"/>
              <w:spacing w:after="60"/>
            </w:pPr>
            <w:r>
              <w:t>▸ Bedingungen Datum = '2027-03-15' und Vegetarisch = 'ja' mit korrekten Literalen (1)</w:t>
            </w:r>
          </w:p>
          <w:p>
            <w:pPr>
              <w:pStyle w:val="DDTabellentext"/>
              <w:spacing w:after="60"/>
            </w:pPr>
            <w:r>
              <w:t>▸ Ausgabe Bezeichnung, Preis; ORDER BY Preis aufsteigend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d)</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Verbund Gericht – Angebot – Bestellung (1)</w:t>
            </w:r>
          </w:p>
          <w:p>
            <w:pPr>
              <w:pStyle w:val="DDTabellentext"/>
              <w:spacing w:after="60"/>
            </w:pPr>
            <w:r>
              <w:t>▸ Zeilenbedingung März 2027 in WHERE (1)</w:t>
            </w:r>
          </w:p>
          <w:p>
            <w:pPr>
              <w:pStyle w:val="DDTabellentext"/>
              <w:spacing w:after="60"/>
            </w:pPr>
            <w:r>
              <w:t>▸ SUM(Bestellung.Menge) statt COUNT bzw. statt Angebot.Portionen (1)</w:t>
            </w:r>
          </w:p>
          <w:p>
            <w:pPr>
              <w:pStyle w:val="DDTabellentext"/>
              <w:spacing w:after="60"/>
            </w:pPr>
            <w:r>
              <w:t>▸ GROUP BY Gericht.GerichtNr, Gericht.Bezeichnung (GROUP-BY-Regel) (1)</w:t>
            </w:r>
          </w:p>
          <w:p>
            <w:pPr>
              <w:pStyle w:val="DDTabellentext"/>
              <w:spacing w:after="60"/>
            </w:pPr>
            <w:r>
              <w:t>▸ HAVING SUM(Bestellung.Menge) &gt; 50 und ORDER BY absteigend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e)</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Aussage im Sachzusammenhang: die drei Personen mit den meisten nicht abgeholten Bestellungen samt Anzahl (2)</w:t>
            </w:r>
          </w:p>
          <w:p>
            <w:pPr>
              <w:pStyle w:val="DDTabellentext"/>
              <w:spacing w:after="60"/>
            </w:pPr>
            <w:r>
              <w:t>▸ Bedeutung der Klauseln: Verbund, Abgeholt IS NULL, Gruppierung je Person, Sortierung absteigend, LIMIT 3 (1)</w:t>
            </w:r>
          </w:p>
          <w:p>
            <w:pPr>
              <w:pStyle w:val="DDTabellentext"/>
              <w:spacing w:after="60"/>
            </w:pPr>
            <w:r>
              <w:t>▸ Beobachtung: Der Verbund mit Angebot ist für das Ergebnis überflüssig; gezählt werden Bestellungen, nicht Portionen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f)</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Allergie-Angaben sind Gesundheitsdaten (besondere Kategorie, Art. 9 DSGVO): nur mit ausdrücklicher Einwilligung bzw. eng begrenzt (1)</w:t>
            </w:r>
          </w:p>
          <w:p>
            <w:pPr>
              <w:pStyle w:val="DDTabellentext"/>
              <w:spacing w:after="60"/>
            </w:pPr>
            <w:r>
              <w:t>▸ Zweckbindung: Bestelldaten wurden für die Essensausgabe erhoben; Elternportal und Caterer verfolgen andere Zwecke (1)</w:t>
            </w:r>
          </w:p>
          <w:p>
            <w:pPr>
              <w:pStyle w:val="DDTabellentext"/>
              <w:spacing w:after="60"/>
            </w:pPr>
            <w:r>
              <w:t>▸ Datenminimierung: Caterer braucht nur Mengen je Gericht und Allergen, keine Namen und Historien; begründetes Urteil (1)</w:t>
            </w:r>
          </w:p>
          <w:p>
            <w:pPr>
              <w:pStyle w:val="DDTabellentext"/>
              <w:spacing w:after="60"/>
            </w:pPr>
            <w:r>
              <w:t>▸ technische Maßnahme erläutert, z. B. Pseudonymisierung/Aggregation, verschlüsselte Übertragung, Zugriff nur auf eigene Kinder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b/>
              </w:rPr>
              <w:t>Summe</w:t>
            </w:r>
            <w:r>
              <w:t xml:space="preserve"> (AFB I 32 % · II 52 % · III 16 %)</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8</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13</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25</w:t>
            </w:r>
          </w:p>
        </w:tc>
      </w:tr>
    </w:tbl>
    <w:p>
      <w:pPr>
        <w:spacing w:after="0" w:line="160" w:lineRule="exact"/>
      </w:pPr>
    </w:p>
    <w:p>
      <w:r>
        <w:rPr>
          <w:b/>
        </w:rPr>
        <w:t>AFB-Verteilung:</w:t>
      </w:r>
      <w:r>
        <w:t xml:space="preserve"> I 8 BE (32 %) · II 13 BE (52 %) · III 4 BE (16 %).</w:t>
      </w:r>
    </w:p>
    <w:p>
      <w:pPr>
        <w:pStyle w:val="Heading2"/>
      </w:pPr>
      <w:r>
        <w:t>Bewertungsschlüssel</w:t>
      </w:r>
    </w:p>
    <w:p>
      <w:pPr/>
      <w:r>
        <w:t>Notenpunkte nach dem in der gymnasialen Oberstufe in Niedersachsen üblichen Schlüssel (wie im Abitur): 5 Punkte ab 45 %, 1 Punkt ab 20 % der Bewertungseinheiten; BE-Grenzen auf ganze BE aufgerundet. Abweichende Beschlüsse der Fachkonferenz gehen vor.</w:t>
      </w:r>
    </w:p>
    <w:tbl>
      <w:tblPr>
        <w:tblStyle w:val="Datentabelle"/>
        <w:jc w:val="left"/>
        <w:tblLayout w:type="fixed"/>
        <w:tblLook w:firstColumn="1" w:firstRow="1" w:lastColumn="0" w:lastRow="0" w:noHBand="0" w:noVBand="1" w:val="04A0"/>
        <w:tblW w:w="5159" w:type="dxa"/>
      </w:tblPr>
      <w:tblGrid>
        <w:gridCol w:w="1474"/>
        <w:gridCol w:w="850"/>
        <w:gridCol w:w="1360"/>
        <w:gridCol w:w="1474"/>
      </w:tblGrid>
      <w:tr>
        <w:trPr>
          <w:tblHeader/>
        </w:trPr>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jc w:val="center"/>
            </w:pPr>
            <w:r>
              <w:rPr>
                <w:rFonts w:ascii="IBM Plex Mono" w:hAnsi="IBM Plex Mono" w:eastAsia="IBM Plex Mono" w:cs="IBM Plex Mono"/>
                <w:b/>
                <w:color w:val="1C2B3A"/>
                <w:sz w:val="16"/>
              </w:rPr>
              <w:t>Notenpunkte</w:t>
            </w:r>
          </w:p>
        </w:tc>
        <w:tc>
          <w:tcPr>
            <w:tcW w:type="dxa" w:w="850"/>
            <w:shd w:val="clear" w:color="auto" w:fill="EBE2D2"/>
            <w:tcBorders>
              <w:top w:val="single" w:sz="4" w:space="0" w:color="D8CCB6"/>
              <w:left w:val="single" w:sz="4" w:space="0" w:color="D8CCB6"/>
              <w:bottom w:val="single" w:sz="4" w:space="0" w:color="D8CCB6"/>
              <w:right w:val="single" w:sz="4" w:space="0" w:color="D8CCB6"/>
            </w:tcBorders>
          </w:tcPr>
          <w:p>
            <w:pPr>
              <w:pStyle w:val="DDTabellentext"/>
              <w:jc w:val="center"/>
            </w:pPr>
            <w:r>
              <w:rPr>
                <w:rFonts w:ascii="IBM Plex Mono" w:hAnsi="IBM Plex Mono" w:eastAsia="IBM Plex Mono" w:cs="IBM Plex Mono"/>
                <w:b/>
                <w:color w:val="1C2B3A"/>
                <w:sz w:val="16"/>
              </w:rPr>
              <w:t>Note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jc w:val="center"/>
            </w:pPr>
            <w:r>
              <w:rPr>
                <w:rFonts w:ascii="IBM Plex Mono" w:hAnsi="IBM Plex Mono" w:eastAsia="IBM Plex Mono" w:cs="IBM Plex Mono"/>
                <w:b/>
                <w:color w:val="1C2B3A"/>
                <w:sz w:val="16"/>
              </w:rPr>
              <w:t>ab Anteil</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jc w:val="center"/>
            </w:pPr>
            <w:r>
              <w:rPr>
                <w:rFonts w:ascii="IBM Plex Mono" w:hAnsi="IBM Plex Mono" w:eastAsia="IBM Plex Mono" w:cs="IBM Plex Mono"/>
                <w:b/>
                <w:color w:val="1C2B3A"/>
                <w:sz w:val="16"/>
              </w:rPr>
              <w:t>BE (von 25)</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15</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95 %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24–25</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14</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90 %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23</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13</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85 %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22</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12</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80 %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20–21</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11</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75 %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19</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70 %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18</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9</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17</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8</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15–16</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7</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14</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13</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12</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10–11</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33 %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9</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27 %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7–8</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5–6</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unter 20 %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0–4</w:t>
            </w:r>
          </w:p>
        </w:tc>
      </w:tr>
    </w:tbl>
    <w:p>
      <w:pPr>
        <w:spacing w:after="0" w:line="80" w:lineRule="exact"/>
      </w:pPr>
    </w:p>
    <w:p>
      <w:pPr>
        <w:pStyle w:val="Heading1"/>
        <w:pageBreakBefore/>
      </w:pPr>
      <w:r>
        <w:t>Aufgaben mit Musterlösungen</w:t>
      </w:r>
    </w:p>
    <w:p>
      <w:r>
        <w:t xml:space="preserve">Die Mensa einer Gesamtschule lässt Schülerinnen, Schüler und Beschäftigte ihr Mittagessen online vorbestellen. Jedes Gericht kann an mehreren Tagen angeboten werden; eine Bestellung bezieht sich immer auf ein Tagesangebot. Im Attribut Portionen eines Angebots steht die Zahl der </w:t>
      </w:r>
      <w:r>
        <w:rPr>
          <w:b/>
        </w:rPr>
        <w:t>geplanten</w:t>
      </w:r>
      <w:r>
        <w:t xml:space="preserve"> Portionen; die </w:t>
      </w:r>
      <w:r>
        <w:rPr>
          <w:b/>
        </w:rPr>
        <w:t>bestellten</w:t>
      </w:r>
      <w:r>
        <w:t xml:space="preserve"> Portionen ergeben sich aus den Mengen der Bestellungen. Abgeholt enthält die Uhrzeit der Ausgabe und ist NULL, wenn das Essen nicht abgeholt wurde. Küchenkräfte bereiten die Tagesangebote zu. Eine Person darf dasselbe Tagesangebot auch mehrfach bestellen (z. B. für einen Gast).</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1 · Relationenschema</w:t>
            </w:r>
          </w:p>
          <w:p>
            <w:pPr>
              <w:spacing w:after="100"/>
            </w:pPr>
            <w:r>
              <w:rPr>
                <w:rFonts w:ascii="IBM Plex Mono" w:hAnsi="IBM Plex Mono" w:eastAsia="IBM Plex Mono" w:cs="IBM Plex Mono"/>
                <w:sz w:val="18"/>
              </w:rPr>
              <w:t>Person(</w:t>
            </w:r>
            <w:r>
              <w:rPr>
                <w:rFonts w:ascii="IBM Plex Mono" w:hAnsi="IBM Plex Mono" w:eastAsia="IBM Plex Mono" w:cs="IBM Plex Mono"/>
                <w:sz w:val="18"/>
                <w:u w:val="single"/>
              </w:rPr>
              <w:t>PersonNr</w:t>
            </w:r>
            <w:r>
              <w:rPr>
                <w:rFonts w:ascii="IBM Plex Mono" w:hAnsi="IBM Plex Mono" w:eastAsia="IBM Plex Mono" w:cs="IBM Plex Mono"/>
                <w:sz w:val="18"/>
              </w:rPr>
              <w:t>, Vorname, Nachname, Rolle, Klasse)</w:t>
            </w:r>
          </w:p>
          <w:p>
            <w:pPr>
              <w:spacing w:after="100"/>
            </w:pPr>
            <w:r>
              <w:rPr>
                <w:rFonts w:ascii="IBM Plex Mono" w:hAnsi="IBM Plex Mono" w:eastAsia="IBM Plex Mono" w:cs="IBM Plex Mono"/>
                <w:sz w:val="18"/>
              </w:rPr>
              <w:t>Gericht(</w:t>
            </w:r>
            <w:r>
              <w:rPr>
                <w:rFonts w:ascii="IBM Plex Mono" w:hAnsi="IBM Plex Mono" w:eastAsia="IBM Plex Mono" w:cs="IBM Plex Mono"/>
                <w:sz w:val="18"/>
                <w:u w:val="single"/>
              </w:rPr>
              <w:t>GerichtNr</w:t>
            </w:r>
            <w:r>
              <w:rPr>
                <w:rFonts w:ascii="IBM Plex Mono" w:hAnsi="IBM Plex Mono" w:eastAsia="IBM Plex Mono" w:cs="IBM Plex Mono"/>
                <w:sz w:val="18"/>
              </w:rPr>
              <w:t>, Bezeichnung, Kategorie, Preis, Vegetarisch)</w:t>
            </w:r>
          </w:p>
          <w:p>
            <w:pPr>
              <w:spacing w:after="100"/>
            </w:pPr>
            <w:r>
              <w:rPr>
                <w:rFonts w:ascii="IBM Plex Mono" w:hAnsi="IBM Plex Mono" w:eastAsia="IBM Plex Mono" w:cs="IBM Plex Mono"/>
                <w:sz w:val="18"/>
              </w:rPr>
              <w:t>Angebot(</w:t>
            </w:r>
            <w:r>
              <w:rPr>
                <w:rFonts w:ascii="IBM Plex Mono" w:hAnsi="IBM Plex Mono" w:eastAsia="IBM Plex Mono" w:cs="IBM Plex Mono"/>
                <w:sz w:val="18"/>
                <w:u w:val="single"/>
              </w:rPr>
              <w:t>AngebotNr</w:t>
            </w:r>
            <w:r>
              <w:rPr>
                <w:rFonts w:ascii="IBM Plex Mono" w:hAnsi="IBM Plex Mono" w:eastAsia="IBM Plex Mono" w:cs="IBM Plex Mono"/>
                <w:sz w:val="18"/>
              </w:rPr>
              <w:t xml:space="preserve">, </w:t>
            </w:r>
            <w:r>
              <w:rPr>
                <w:rFonts w:ascii="IBM Plex Mono" w:hAnsi="IBM Plex Mono" w:eastAsia="IBM Plex Mono" w:cs="IBM Plex Mono"/>
                <w:color w:val="B3261E"/>
                <w:sz w:val="18"/>
              </w:rPr>
              <w:t>↑</w:t>
            </w:r>
            <w:r>
              <w:rPr>
                <w:rFonts w:ascii="IBM Plex Mono" w:hAnsi="IBM Plex Mono" w:eastAsia="IBM Plex Mono" w:cs="IBM Plex Mono"/>
                <w:sz w:val="18"/>
              </w:rPr>
              <w:t>GerichtNr, Datum, Portionen)</w:t>
            </w:r>
          </w:p>
          <w:p>
            <w:pPr>
              <w:spacing w:after="100"/>
            </w:pPr>
            <w:r>
              <w:rPr>
                <w:rFonts w:ascii="IBM Plex Mono" w:hAnsi="IBM Plex Mono" w:eastAsia="IBM Plex Mono" w:cs="IBM Plex Mono"/>
                <w:sz w:val="18"/>
              </w:rPr>
              <w:t>Bestellung(</w:t>
            </w:r>
            <w:r>
              <w:rPr>
                <w:rFonts w:ascii="IBM Plex Mono" w:hAnsi="IBM Plex Mono" w:eastAsia="IBM Plex Mono" w:cs="IBM Plex Mono"/>
                <w:sz w:val="18"/>
                <w:u w:val="single"/>
              </w:rPr>
              <w:t>BestellNr</w:t>
            </w:r>
            <w:r>
              <w:rPr>
                <w:rFonts w:ascii="IBM Plex Mono" w:hAnsi="IBM Plex Mono" w:eastAsia="IBM Plex Mono" w:cs="IBM Plex Mono"/>
                <w:sz w:val="18"/>
              </w:rPr>
              <w:t xml:space="preserve">, </w:t>
            </w:r>
            <w:r>
              <w:rPr>
                <w:rFonts w:ascii="IBM Plex Mono" w:hAnsi="IBM Plex Mono" w:eastAsia="IBM Plex Mono" w:cs="IBM Plex Mono"/>
                <w:color w:val="B3261E"/>
                <w:sz w:val="18"/>
              </w:rPr>
              <w:t>↑</w:t>
            </w:r>
            <w:r>
              <w:rPr>
                <w:rFonts w:ascii="IBM Plex Mono" w:hAnsi="IBM Plex Mono" w:eastAsia="IBM Plex Mono" w:cs="IBM Plex Mono"/>
                <w:sz w:val="18"/>
              </w:rPr>
              <w:t xml:space="preserve">PersonNr, </w:t>
            </w:r>
            <w:r>
              <w:rPr>
                <w:rFonts w:ascii="IBM Plex Mono" w:hAnsi="IBM Plex Mono" w:eastAsia="IBM Plex Mono" w:cs="IBM Plex Mono"/>
                <w:color w:val="B3261E"/>
                <w:sz w:val="18"/>
              </w:rPr>
              <w:t>↑</w:t>
            </w:r>
            <w:r>
              <w:rPr>
                <w:rFonts w:ascii="IBM Plex Mono" w:hAnsi="IBM Plex Mono" w:eastAsia="IBM Plex Mono" w:cs="IBM Plex Mono"/>
                <w:sz w:val="18"/>
              </w:rPr>
              <w:t>AngebotNr, Menge, Abgeholt)</w:t>
            </w:r>
          </w:p>
          <w:p>
            <w:pPr>
              <w:spacing w:after="100"/>
            </w:pPr>
            <w:r>
              <w:rPr>
                <w:rFonts w:ascii="IBM Plex Mono" w:hAnsi="IBM Plex Mono" w:eastAsia="IBM Plex Mono" w:cs="IBM Plex Mono"/>
                <w:sz w:val="18"/>
              </w:rPr>
              <w:t>Kuechenkraft(</w:t>
            </w:r>
            <w:r>
              <w:rPr>
                <w:rFonts w:ascii="IBM Plex Mono" w:hAnsi="IBM Plex Mono" w:eastAsia="IBM Plex Mono" w:cs="IBM Plex Mono"/>
                <w:sz w:val="18"/>
                <w:u w:val="single"/>
              </w:rPr>
              <w:t>KraftNr</w:t>
            </w:r>
            <w:r>
              <w:rPr>
                <w:rFonts w:ascii="IBM Plex Mono" w:hAnsi="IBM Plex Mono" w:eastAsia="IBM Plex Mono" w:cs="IBM Plex Mono"/>
                <w:sz w:val="18"/>
              </w:rPr>
              <w:t>, Vorname, Nachname)</w:t>
            </w:r>
          </w:p>
          <w:p>
            <w:pPr>
              <w:spacing w:after="100"/>
            </w:pPr>
            <w:r>
              <w:rPr>
                <w:rFonts w:ascii="IBM Plex Mono" w:hAnsi="IBM Plex Mono" w:eastAsia="IBM Plex Mono" w:cs="IBM Plex Mono"/>
                <w:sz w:val="18"/>
              </w:rPr>
              <w:t>bereitetZu(</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KraftNr,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AngebotNr</w:t>
            </w:r>
            <w:r>
              <w:rPr>
                <w:rFonts w:ascii="IBM Plex Mono" w:hAnsi="IBM Plex Mono" w:eastAsia="IBM Plex Mono" w:cs="IBM Plex Mono"/>
                <w:sz w:val="18"/>
              </w:rPr>
              <w:t>)</w:t>
            </w:r>
          </w:p>
          <w:p>
            <w:pPr>
              <w:pStyle w:val="DDTabellentext"/>
              <w:spacing w:after="60"/>
            </w:pPr>
            <w:r>
              <w:t>Rolle: 'Schüler', 'Lehrkraft' oder 'Personal' (Klasse nur bei Schülerinnen und Schülern, sonst NULL) · Vegetarisch: 'ja'/'nein' · Preis in Euro · Datum im Format 'JJJJ-MM-TT', Abgeholt im Format 'hh:mm'.</w:t>
            </w:r>
          </w:p>
        </w:tc>
      </w:tr>
    </w:tbl>
    <w:p>
      <w:pPr>
        <w:spacing w:after="0" w:line="160" w:lineRule="exact"/>
      </w:pPr>
    </w:p>
    <w:p>
      <w:r>
        <w:rPr>
          <w:i/>
        </w:rPr>
        <w:t>Material 2 · Ausschnitte aus den Tabellen – siehe Aufgabenblatt.</w:t>
      </w:r>
    </w:p>
    <w:p>
      <w:r>
        <w:rPr>
          <w:i/>
        </w:rPr>
        <w:t>Material 3 · Tabelle BestellUebersicht – siehe Aufgabenblatt.</w:t>
      </w:r>
    </w:p>
    <w:p>
      <w:pPr>
        <w:pStyle w:val="Heading1"/>
        <w:pageBreakBefore w:val="0"/>
      </w:pPr>
      <w:r>
        <w:t>Aufgaben</w:t>
      </w:r>
    </w:p>
    <w:p>
      <w:pPr>
        <w:keepNext/>
        <w:tabs>
          <w:tab w:pos="454" w:val="left"/>
        </w:tabs>
        <w:spacing w:before="160"/>
        <w:ind w:left="454" w:hanging="454"/>
      </w:pPr>
      <w:r>
        <w:rPr>
          <w:b/>
        </w:rPr>
        <w:t>a)</w:t>
        <w:tab/>
      </w:r>
      <w:r>
        <w:rPr>
          <w:b/>
        </w:rPr>
        <w:t>Erläutern</w:t>
      </w:r>
      <w:r>
        <w:t xml:space="preserve"> Sie die Kennzeichnungen in der Relation Bestellung (Material 1) und </w:t>
      </w:r>
      <w:r>
        <w:rPr>
          <w:b/>
        </w:rPr>
        <w:t>beurteilen</w:t>
      </w:r>
      <w:r>
        <w:t xml:space="preserve"> Sie, ob das Attributpaar (PersonNr, AngebotNr) anstelle von BestellNr als Primärschlüssel der Relation Bestellung genügen würde. [4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BestellNr ist unterstrichen und damit Primärschlüssel: Jeder Wert kommt höchstens einmal vor und ist nie NULL, so ist jede Bestellung eindeutig bestimmt. PersonNr und AngebotNr tragen den Pfeil </w:t>
            </w:r>
            <w:r>
              <w:rPr>
                <w:rFonts w:ascii="IBM Plex Mono" w:hAnsi="IBM Plex Mono" w:eastAsia="IBM Plex Mono" w:cs="IBM Plex Mono"/>
                <w:color w:val="B3261E"/>
              </w:rPr>
              <w:t>↑</w:t>
            </w:r>
            <w:r>
              <w:t>: Es sind Fremdschlüssel, deren Werte auf den Primärschlüssel von Person bzw. Angebot verweisen. Über sie ist festgehalten, wer bestellt hat und welches Tagesangebot bestellt wurde.</w:t>
            </w:r>
          </w:p>
          <w:p>
            <w:pPr>
              <w:pStyle w:val="DDTabellentext"/>
              <w:spacing w:after="60"/>
            </w:pPr>
            <w:r>
              <w:t>Das Paar (PersonNr, AngebotNr) wäre nur dann ein geeigneter Schlüssel, wenn jede Person jedes Angebot höchstens einmal bestellen könnte. Laut Sachzusammenhang sind Mehrfachbestellungen erlaubt; im Ausschnitt kommt das Paar (6, 45) zweimal vor (BestellNr 204 und 209). Das Paar ist also nicht eindeutig und als Primärschlüssel ungeeignet.</w:t>
            </w:r>
          </w:p>
          <w:p>
            <w:pPr>
              <w:pStyle w:val="DDTabellentext"/>
              <w:spacing w:after="60"/>
            </w:pPr>
            <w:r>
              <w:t>Kernpunkte und Teilpunkte: siehe Bewertungsbogen.</w:t>
            </w:r>
          </w:p>
          <w:p>
            <w:pPr>
              <w:pStyle w:val="DDTabellentext"/>
            </w:pPr>
            <w:r>
              <w:rPr>
                <w:b/>
              </w:rPr>
              <w:t>Auch richtig:</w:t>
            </w:r>
          </w:p>
          <w:p>
            <w:pPr>
              <w:pStyle w:val="DDTabellentext"/>
              <w:spacing w:after="60"/>
            </w:pPr>
            <w:r>
              <w:t>Hinweis, dass man Mehrfachbestellungen über eine höhere Menge abbilden und dann (PersonNr, AngebotNr) verwenden könnte – voll anerkannt, wenn die Abhängigkeit vom Sachzusammenhang klar wird.</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P8</w:t>
            </w:r>
            <w:r>
              <w:t xml:space="preserve">  Eindeutigkeit nur am Ausschnitt geprüft („kommt nicht doppelt vor“) bzw. die Zeilen 204/209 übersehen.</w:t>
            </w:r>
          </w:p>
          <w:p>
            <w:pPr>
              <w:pStyle w:val="DDTabellentext"/>
            </w:pPr>
            <w:r>
              <w:rPr>
                <w:rFonts w:ascii="IBM Plex Mono" w:hAnsi="IBM Plex Mono" w:eastAsia="IBM Plex Mono" w:cs="IBM Plex Mono"/>
                <w:b/>
                <w:color w:val="B3261E"/>
                <w:sz w:val="15"/>
                <w:shd w:val="clear" w:color="auto" w:fill="F8E3DF"/>
              </w:rPr>
              <w:t>◆ P7</w:t>
            </w:r>
            <w:r>
              <w:t xml:space="preserve">  Fremdschlüssel nur als „verweist auf eine andere Tabelle“ beschrieben, ohne Ziel-Attribut.</w:t>
            </w:r>
          </w:p>
        </w:tc>
      </w:tr>
    </w:tbl>
    <w:p>
      <w:pPr>
        <w:spacing w:after="0" w:line="160" w:lineRule="exact"/>
      </w:pPr>
    </w:p>
    <w:p>
      <w:pPr>
        <w:keepNext/>
        <w:tabs>
          <w:tab w:pos="454" w:val="left"/>
        </w:tabs>
        <w:spacing w:before="160"/>
        <w:ind w:left="454" w:hanging="454"/>
      </w:pPr>
      <w:r>
        <w:rPr>
          <w:b/>
        </w:rPr>
        <w:t>b)</w:t>
        <w:tab/>
      </w:r>
      <w:r>
        <w:rPr>
          <w:b/>
        </w:rPr>
        <w:t>Untersuchen</w:t>
      </w:r>
      <w:r>
        <w:t xml:space="preserve"> Sie die Tabelle BestellUebersicht (Material 3) auf Anomalien; gehen Sie dabei an konkreten Datensätzen auf den Zusammenhang mit der Redundanz ein.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In BestellUebersicht steht zu jeder Bestellung auch alles über Person und Gericht. Dadurch sind Angaben </w:t>
            </w:r>
            <w:r>
              <w:rPr>
                <w:b/>
              </w:rPr>
              <w:t>redundant</w:t>
            </w:r>
            <w:r>
              <w:t xml:space="preserve"> gespeichert: Der Preis des Hähnchen-Currys steht zehnmal in der Tabelle, Name und Klasse von Arne Demir zweimal.</w:t>
            </w:r>
          </w:p>
          <w:p>
            <w:pPr>
              <w:pStyle w:val="DDTabellentext"/>
              <w:spacing w:after="60"/>
            </w:pPr>
            <w:r>
              <w:rPr>
                <w:b/>
              </w:rPr>
              <w:t>Änderungsanomalie:</w:t>
            </w:r>
            <w:r>
              <w:t xml:space="preserve"> Ändert sich ein Preis oder eine Klasse, muss jede betroffene Zeile geändert werden. Das ist bereits schiefgegangen: Chili sin Carne kostet in den Zeilen 212–215 3,50 €, in Zeile 216 aber 3,25 €; Insa Gerdts steht in Zeile 206 mit Klasse 10b, in Zeile 214 mit 10c.</w:t>
            </w:r>
          </w:p>
          <w:p>
            <w:pPr>
              <w:pStyle w:val="DDTabellentext"/>
              <w:spacing w:after="60"/>
            </w:pPr>
            <w:r>
              <w:rPr>
                <w:b/>
              </w:rPr>
              <w:t>Löschanomalie:</w:t>
            </w:r>
            <w:r>
              <w:t xml:space="preserve"> Wird Bestellung 217 storniert und gelöscht, gehen auch Bezeichnung und Preis der Tomatensuppe (und Name von Ida Bultjer) verloren – sie stehen in keiner anderen Zeile.</w:t>
            </w:r>
          </w:p>
          <w:p>
            <w:pPr>
              <w:pStyle w:val="DDTabellentext"/>
              <w:spacing w:after="60"/>
            </w:pPr>
            <w:r>
              <w:rPr>
                <w:b/>
              </w:rPr>
              <w:t>Einfügeanomalie:</w:t>
            </w:r>
            <w:r>
              <w:t xml:space="preserve"> Ein neues Gericht (z. B. Kürbissuppe) oder eine neue Person lässt sich erst eintragen, wenn es eine Bestellung dazu gibt.</w:t>
            </w:r>
          </w:p>
          <w:p>
            <w:pPr>
              <w:pStyle w:val="DDTabellentext"/>
              <w:spacing w:after="60"/>
            </w:pPr>
            <w:r>
              <w:t>Ursache aller drei Anomalien ist die Redundanz bzw. die Zusammenlegung verschiedener Sachverhalte (Person, Gericht, Bestellung) in einer Tabelle.</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Anomalien nur genannt oder allgemein definiert, ohne konkrete Zeilen aus Material 3.</w:t>
            </w:r>
          </w:p>
          <w:p>
            <w:pPr>
              <w:pStyle w:val="DDTabellentext"/>
            </w:pPr>
            <w:r>
              <w:rPr>
                <w:rFonts w:ascii="IBM Plex Mono" w:hAnsi="IBM Plex Mono" w:eastAsia="IBM Plex Mono" w:cs="IBM Plex Mono"/>
                <w:b/>
                <w:color w:val="B3261E"/>
                <w:sz w:val="15"/>
                <w:shd w:val="clear" w:color="auto" w:fill="F8E3DF"/>
              </w:rPr>
              <w:t>◆ P10</w:t>
            </w:r>
            <w:r>
              <w:t xml:space="preserve">  Redundanz mit „doppelten Zeilen“ verwechselt – die Zeilen 204 und 209 sind zwei echte Bestellungen.</w:t>
            </w:r>
          </w:p>
        </w:tc>
      </w:tr>
    </w:tbl>
    <w:p>
      <w:pPr>
        <w:spacing w:after="0" w:line="160" w:lineRule="exact"/>
      </w:pPr>
    </w:p>
    <w:p>
      <w:pPr>
        <w:keepNext/>
        <w:tabs>
          <w:tab w:pos="454" w:val="left"/>
        </w:tabs>
        <w:spacing w:before="160"/>
        <w:ind w:left="454" w:hanging="454"/>
      </w:pPr>
      <w:r>
        <w:rPr>
          <w:b/>
        </w:rPr>
        <w:t>c)</w:t>
        <w:tab/>
      </w:r>
      <w:r>
        <w:rPr>
          <w:b/>
        </w:rPr>
        <w:t>Entwerfen</w:t>
      </w:r>
      <w:r>
        <w:t xml:space="preserve"> Sie eine SQL-Abfrage, die Bezeichnung und Preis aller vegetarischen Gerichte ausgibt, die am 15.03.2027 angeboten werden. Das Ergebnis soll aufsteigend nach dem Preis sortiert sein.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Gericht.Bezeichnung, Gericht.Preis</w:t>
              <w:br/>
              <w:t>FROM Gericht, Angebot</w:t>
              <w:br/>
              <w:t>WHERE Gericht.GerichtNr = Angebot.GerichtNr</w:t>
              <w:br/>
              <w:t xml:space="preserve">  AND Angebot.Datum = '2027-03-15'</w:t>
              <w:br/>
              <w:t xml:space="preserve">  AND Gericht.Vegetarisch = 'ja'</w:t>
              <w:br/>
              <w:t>ORDER BY Gericht.Preis</w:t>
            </w:r>
          </w:p>
          <w:tbl>
            <w:tblPr>
              <w:tblStyle w:val="Ergebnistabelle"/>
              <w:jc w:val="left"/>
              <w:tblLayout w:type="fixed"/>
              <w:tblLook w:firstColumn="1" w:firstRow="1" w:lastColumn="0" w:lastRow="0" w:noHBand="0" w:noVBand="1" w:val="04A0"/>
              <w:tblW w:w="2721" w:type="dxa"/>
            </w:tblPr>
            <w:tblGrid>
              <w:gridCol w:w="1814"/>
              <w:gridCol w:w="907"/>
            </w:tblGrid>
            <w:tr>
              <w:trPr>
                <w:tblHeader/>
              </w:trPr>
              <w:tc>
                <w:tcPr>
                  <w:tcW w:type="dxa" w:w="181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Bezeichnung</w:t>
                  </w:r>
                </w:p>
              </w:tc>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Preis</w:t>
                  </w:r>
                </w:p>
              </w:tc>
            </w:tr>
            <w:tr>
              <w:tc>
                <w:tcPr>
                  <w:tcW w:type="dxa" w:w="1814"/>
                  <w:tcBorders>
                    <w:top w:val="single" w:sz="4" w:space="0" w:color="D8CCB6"/>
                    <w:left w:val="single" w:sz="4" w:space="0" w:color="D8CCB6"/>
                    <w:bottom w:val="single" w:sz="4" w:space="0" w:color="D8CCB6"/>
                    <w:right w:val="single" w:sz="4" w:space="0" w:color="D8CCB6"/>
                  </w:tcBorders>
                </w:tcPr>
                <w:p>
                  <w:pPr>
                    <w:pStyle w:val="DDTabellentext"/>
                  </w:pPr>
                  <w:r>
                    <w:rPr>
                      <w:sz w:val="18"/>
                    </w:rPr>
                    <w:t>Schokopudding</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1,25</w:t>
                  </w:r>
                </w:p>
              </w:tc>
            </w:tr>
            <w:tr>
              <w:tc>
                <w:tcPr>
                  <w:tcW w:type="dxa" w:w="1814"/>
                  <w:tcBorders>
                    <w:top w:val="single" w:sz="4" w:space="0" w:color="D8CCB6"/>
                    <w:left w:val="single" w:sz="4" w:space="0" w:color="D8CCB6"/>
                    <w:bottom w:val="single" w:sz="4" w:space="0" w:color="D8CCB6"/>
                    <w:right w:val="single" w:sz="4" w:space="0" w:color="D8CCB6"/>
                  </w:tcBorders>
                </w:tcPr>
                <w:p>
                  <w:pPr>
                    <w:pStyle w:val="DDTabellentext"/>
                  </w:pPr>
                  <w:r>
                    <w:rPr>
                      <w:sz w:val="18"/>
                    </w:rPr>
                    <w:t>Käsespätzle</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3,75</w:t>
                  </w:r>
                </w:p>
              </w:tc>
            </w:tr>
          </w:tbl>
          <w:p>
            <w:pPr>
              <w:pStyle w:val="DDAbstand"/>
            </w:pP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P5</w:t>
            </w:r>
            <w:r>
              <w:t xml:space="preserve">  Datum als '15.03.2027' oder ohne Hochkommata; 'ja' ohne Hochkommata.</w:t>
            </w:r>
          </w:p>
          <w:p>
            <w:pPr>
              <w:pStyle w:val="DDTabellentext"/>
            </w:pPr>
            <w:r>
              <w:rPr>
                <w:rFonts w:ascii="IBM Plex Mono" w:hAnsi="IBM Plex Mono" w:eastAsia="IBM Plex Mono" w:cs="IBM Plex Mono"/>
                <w:b/>
                <w:color w:val="B3261E"/>
                <w:sz w:val="15"/>
                <w:shd w:val="clear" w:color="auto" w:fill="F8E3DF"/>
              </w:rPr>
              <w:t>◆ P2</w:t>
            </w:r>
            <w:r>
              <w:t xml:space="preserve">  Verbundbedingung vergessen – Kreuzprodukt aus Gericht und Angebot.</w:t>
            </w:r>
          </w:p>
        </w:tc>
      </w:tr>
    </w:tbl>
    <w:p>
      <w:pPr>
        <w:spacing w:after="0" w:line="160" w:lineRule="exact"/>
      </w:pPr>
    </w:p>
    <w:p>
      <w:pPr>
        <w:keepNext/>
        <w:tabs>
          <w:tab w:pos="454" w:val="left"/>
        </w:tabs>
        <w:spacing w:before="160"/>
        <w:ind w:left="454" w:hanging="454"/>
      </w:pPr>
      <w:r>
        <w:rPr>
          <w:b/>
        </w:rPr>
        <w:t>d)</w:t>
        <w:tab/>
      </w:r>
      <w:r>
        <w:rPr>
          <w:b/>
        </w:rPr>
        <w:t>Entwerfen</w:t>
      </w:r>
      <w:r>
        <w:t xml:space="preserve"> Sie eine SQL-Abfrage, die für jedes Gericht die Gerichtnummer, die Bezeichnung und die Summe der im März 2027 bestellten Portionen ausgibt. Berücksichtigt werden sollen nur Gerichte mit mehr als 50 bestellten Portionen; das Ergebnis soll absteigend nach dieser Summe sortiert sein.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Gericht.GerichtNr, Gericht.Bezeichnung, SUM(Bestellung.Menge) AS Portionen</w:t>
              <w:br/>
              <w:t>FROM Gericht, Angebot, Bestellung</w:t>
              <w:br/>
              <w:t>WHERE Gericht.GerichtNr = Angebot.GerichtNr</w:t>
              <w:br/>
              <w:t xml:space="preserve">  AND Angebot.AngebotNr = Bestellung.AngebotNr</w:t>
              <w:br/>
              <w:t xml:space="preserve">  AND Angebot.Datum BETWEEN '2027-03-01' AND '2027-03-31'</w:t>
              <w:br/>
              <w:t>GROUP BY Gericht.GerichtNr, Gericht.Bezeichnung</w:t>
              <w:br/>
              <w:t>HAVING SUM(Bestellung.Menge) &gt; 50</w:t>
              <w:br/>
              <w:t>ORDER BY Portionen DESC</w:t>
            </w:r>
          </w:p>
          <w:tbl>
            <w:tblPr>
              <w:tblStyle w:val="Ergebnistabelle"/>
              <w:jc w:val="left"/>
              <w:tblLayout w:type="fixed"/>
              <w:tblLook w:firstColumn="1" w:firstRow="1" w:lastColumn="0" w:lastRow="0" w:noHBand="0" w:noVBand="1" w:val="04A0"/>
              <w:tblW w:w="5670" w:type="dxa"/>
            </w:tblPr>
            <w:tblGrid>
              <w:gridCol w:w="1360"/>
              <w:gridCol w:w="2948"/>
              <w:gridCol w:w="1360"/>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GerichtNr</w:t>
                  </w:r>
                </w:p>
              </w:tc>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Bezeichnung</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Portionen</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Spaghetti Bolognese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63</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7</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Currywurst mit Pommes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57</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Hähnchen-Curry mit Reis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51</w:t>
                  </w:r>
                </w:p>
              </w:tc>
            </w:tr>
          </w:tbl>
          <w:p>
            <w:pPr>
              <w:pStyle w:val="DDAbstand"/>
            </w:pPr>
          </w:p>
          <w:p>
            <w:pPr>
              <w:pStyle w:val="DDTabellentext"/>
              <w:spacing w:after="60"/>
            </w:pPr>
            <w:r>
              <w:t>Die Gemüselasagne hat im März genau 50 bestellte Portionen und gehört nicht dazu; ohne die März-Bedingung käme sie mit 56 Portionen hinzu.</w:t>
            </w:r>
          </w:p>
          <w:p>
            <w:pPr>
              <w:pStyle w:val="DDTabellentext"/>
              <w:spacing w:after="60"/>
            </w:pPr>
            <w:r>
              <w:t>Kernpunkte und Teilpunkte: siehe Bewertungsbogen.</w:t>
            </w:r>
          </w:p>
          <w:p>
            <w:pPr>
              <w:pStyle w:val="DDTabellentext"/>
            </w:pPr>
            <w:r>
              <w:rPr>
                <w:b/>
              </w:rPr>
              <w:t>Auch richtig:</w:t>
            </w:r>
          </w:p>
          <w:p>
            <w:pPr>
              <w:pStyle w:val="SQL-Code"/>
            </w:pPr>
            <w:r>
              <w:t>SELECT Gericht.GerichtNr, Gericht.Bezeichnung, SUM(Bestellung.Menge) AS Portionen</w:t>
              <w:br/>
              <w:t>FROM Gericht, Angebot, Bestellung</w:t>
              <w:br/>
              <w:t>WHERE Gericht.GerichtNr = Angebot.GerichtNr</w:t>
              <w:br/>
              <w:t xml:space="preserve">  AND Angebot.AngebotNr = Bestellung.AngebotNr</w:t>
              <w:br/>
              <w:t xml:space="preserve">  AND Angebot.Datum LIKE '2027-03-%'</w:t>
              <w:br/>
              <w:t>GROUP BY Gericht.GerichtNr, Gericht.Bezeichnung</w:t>
              <w:br/>
              <w:t>HAVING SUM(Bestellung.Menge) &gt; 50</w:t>
              <w:br/>
              <w:t>ORDER BY Portionen DESC</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w:t>
            </w:r>
            <w:r>
              <w:t xml:space="preserve">  März-Bedingung in HAVING bzw. SUM(…) &gt; 50 in WHERE.</w:t>
            </w:r>
          </w:p>
          <w:p>
            <w:pPr>
              <w:pStyle w:val="DDTabellentext"/>
            </w:pPr>
            <w:r>
              <w:rPr>
                <w:rFonts w:ascii="IBM Plex Mono" w:hAnsi="IBM Plex Mono" w:eastAsia="IBM Plex Mono" w:cs="IBM Plex Mono"/>
                <w:b/>
                <w:color w:val="B3261E"/>
                <w:sz w:val="15"/>
                <w:shd w:val="clear" w:color="auto" w:fill="F8E3DF"/>
              </w:rPr>
              <w:t>◆ P4</w:t>
            </w:r>
            <w:r>
              <w:t xml:space="preserve">  COUNT(*) zählt Bestellungen, nicht Portionen.</w:t>
            </w:r>
          </w:p>
          <w:p>
            <w:pPr>
              <w:pStyle w:val="DDTabellentext"/>
            </w:pPr>
            <w:r>
              <w:rPr>
                <w:rFonts w:ascii="IBM Plex Mono" w:hAnsi="IBM Plex Mono" w:eastAsia="IBM Plex Mono" w:cs="IBM Plex Mono"/>
                <w:b/>
                <w:color w:val="B3261E"/>
                <w:sz w:val="15"/>
                <w:shd w:val="clear" w:color="auto" w:fill="F8E3DF"/>
              </w:rPr>
              <w:t>◆ P7</w:t>
            </w:r>
            <w:r>
              <w:t xml:space="preserve">  SUM(Angebot.Portionen) – das sind die geplanten Portionen.</w:t>
            </w:r>
          </w:p>
          <w:p>
            <w:pPr>
              <w:pStyle w:val="DDTabellentext"/>
            </w:pPr>
            <w:r>
              <w:rPr>
                <w:rFonts w:ascii="IBM Plex Mono" w:hAnsi="IBM Plex Mono" w:eastAsia="IBM Plex Mono" w:cs="IBM Plex Mono"/>
                <w:b/>
                <w:color w:val="B3261E"/>
                <w:sz w:val="15"/>
                <w:shd w:val="clear" w:color="auto" w:fill="F8E3DF"/>
              </w:rPr>
              <w:t>◆ P3</w:t>
            </w:r>
            <w:r>
              <w:t xml:space="preserve">  nur nach Bezeichnung gruppiert bzw. GerichtNr im SELECT, aber nicht im GROUP BY.</w:t>
            </w:r>
          </w:p>
          <w:p>
            <w:pPr>
              <w:pStyle w:val="DDTabellentext"/>
            </w:pPr>
            <w:r>
              <w:rPr>
                <w:rFonts w:ascii="IBM Plex Mono" w:hAnsi="IBM Plex Mono" w:eastAsia="IBM Plex Mono" w:cs="IBM Plex Mono"/>
                <w:b/>
                <w:color w:val="B3261E"/>
                <w:sz w:val="15"/>
                <w:shd w:val="clear" w:color="auto" w:fill="F8E3DF"/>
              </w:rPr>
              <w:t>◆ P6</w:t>
            </w:r>
            <w:r>
              <w:t xml:space="preserve">  &gt; 50 als &gt;= 50 (Gemüselasagne käme dazu).</w:t>
            </w:r>
          </w:p>
        </w:tc>
      </w:tr>
    </w:tbl>
    <w:p>
      <w:pPr>
        <w:spacing w:after="0" w:line="160" w:lineRule="exact"/>
      </w:pPr>
    </w:p>
    <w:p>
      <w:pPr>
        <w:keepNext/>
        <w:tabs>
          <w:tab w:pos="454" w:val="left"/>
        </w:tabs>
        <w:spacing w:before="160"/>
        <w:ind w:left="454" w:hanging="454"/>
      </w:pPr>
      <w:r>
        <w:rPr>
          <w:b/>
        </w:rPr>
        <w:t>e)</w:t>
        <w:tab/>
      </w:r>
      <w:r>
        <w:rPr>
          <w:b/>
        </w:rPr>
        <w:t>Analysieren</w:t>
      </w:r>
      <w:r>
        <w:t xml:space="preserve"> Sie die folgende SQL-Abfrage im Sachzusammenhang. [4 BE]</w:t>
      </w:r>
    </w:p>
    <w:p>
      <w:pPr>
        <w:pStyle w:val="SQL-Code"/>
      </w:pPr>
      <w:r>
        <w:t>SELECT Person.PersonNr, Person.Vorname, Person.Nachname, COUNT(*) AS Anzahl</w:t>
        <w:br/>
        <w:t>FROM Person, Bestellung, Angebot</w:t>
        <w:br/>
        <w:t>WHERE Person.PersonNr = Bestellung.PersonNr</w:t>
        <w:br/>
        <w:t xml:space="preserve">  AND Bestellung.AngebotNr = Angebot.AngebotNr</w:t>
        <w:br/>
        <w:t xml:space="preserve">  AND Bestellung.Abgeholt IS NULL</w:t>
        <w:br/>
        <w:t>GROUP BY Person.PersonNr, Person.Vorname, Person.Nachname</w:t>
        <w:br/>
        <w:t>ORDER BY COUNT(*) DESC</w:t>
        <w:br/>
        <w:t>LIMIT 3</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Die Abfrage ermittelt die drei Personen (Nummer, Vor- und Nachname), die die meisten Bestellungen </w:t>
            </w:r>
            <w:r>
              <w:rPr>
                <w:b/>
              </w:rPr>
              <w:t>nicht abgeholt</w:t>
            </w:r>
            <w:r>
              <w:t xml:space="preserve"> haben, und gibt die Anzahl dieser Bestellungen absteigend sortiert aus. Dazu werden Person, Bestellung und Angebot verbunden, nur Bestellungen ohne Ausgabezeit (Abgeholt IS NULL) berücksichtigt, je Person gruppiert und gezählt. Angebot wird für das Ergebnis nicht gebraucht. Gezählt werden Bestellungen, nicht Portionen.</w:t>
            </w:r>
          </w:p>
          <w:tbl>
            <w:tblPr>
              <w:tblStyle w:val="Ergebnistabelle"/>
              <w:jc w:val="left"/>
              <w:tblLayout w:type="fixed"/>
              <w:tblLook w:firstColumn="1" w:firstRow="1" w:lastColumn="0" w:lastRow="0" w:noHBand="0" w:noVBand="1" w:val="04A0"/>
              <w:tblW w:w="4762" w:type="dxa"/>
            </w:tblPr>
            <w:tblGrid>
              <w:gridCol w:w="1247"/>
              <w:gridCol w:w="1134"/>
              <w:gridCol w:w="1360"/>
              <w:gridCol w:w="1020"/>
            </w:tblGrid>
            <w:tr>
              <w:trPr>
                <w:tblHeader/>
              </w:trPr>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PersonNr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Anzahl</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30</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Ole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Lindemann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7</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Pia</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Fehrmann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19</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Joris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Wiechmann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w:t>
                  </w:r>
                </w:p>
              </w:tc>
            </w:tr>
          </w:tbl>
          <w:p>
            <w:pPr>
              <w:pStyle w:val="DDAbstand"/>
            </w:pP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Klauseln nur „übersetzt“ (SELECT wählt …, FROM nimmt …) ohne Aussage über die Mensa.</w:t>
            </w:r>
          </w:p>
          <w:p>
            <w:pPr>
              <w:pStyle w:val="DDTabellentext"/>
            </w:pPr>
            <w:r>
              <w:rPr>
                <w:rFonts w:ascii="IBM Plex Mono" w:hAnsi="IBM Plex Mono" w:eastAsia="IBM Plex Mono" w:cs="IBM Plex Mono"/>
                <w:b/>
                <w:color w:val="B3261E"/>
                <w:sz w:val="15"/>
                <w:shd w:val="clear" w:color="auto" w:fill="F8E3DF"/>
              </w:rPr>
              <w:t>◆ P4</w:t>
            </w:r>
            <w:r>
              <w:t xml:space="preserve">  „die meisten nicht abgeholten Portionen“ – COUNT(*) zählt Bestellungen.</w:t>
            </w:r>
          </w:p>
        </w:tc>
      </w:tr>
    </w:tbl>
    <w:p>
      <w:pPr>
        <w:spacing w:after="0" w:line="160" w:lineRule="exact"/>
      </w:pPr>
    </w:p>
    <w:p>
      <w:pPr>
        <w:keepNext/>
        <w:tabs>
          <w:tab w:pos="454" w:val="left"/>
        </w:tabs>
        <w:spacing w:before="160"/>
        <w:ind w:left="454" w:hanging="454"/>
      </w:pPr>
      <w:r>
        <w:rPr>
          <w:b/>
        </w:rPr>
        <w:t>f)</w:t>
        <w:tab/>
      </w:r>
      <w:r>
        <w:t xml:space="preserve">Die Mensa plant, die Allergie-Angaben der Personen und ihre vollständigen Bestellhistorien regelmäßig an den externen Caterer und an ein Elternportal zu übermitteln. </w:t>
      </w:r>
      <w:r>
        <w:rPr>
          <w:b/>
        </w:rPr>
        <w:t>Beurteilen</w:t>
      </w:r>
      <w:r>
        <w:t xml:space="preserve"> Sie dieses Vorhaben unter Bezug auf zwei Grundsätze der Datenverarbeitung nach der DSGVO und erläutern Sie eine technische Schutzmaßnahme. [4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In dieser Form ist das Vorhaben nicht zulässig. </w:t>
            </w:r>
            <w:r>
              <w:rPr>
                <w:b/>
              </w:rPr>
              <w:t>Zweckbindung:</w:t>
            </w:r>
            <w:r>
              <w:t xml:space="preserve"> Die Daten wurden für die Vorbestellung und Ausgabe des Essens erhoben; eine Weitergabe an Dritte für andere Zwecke braucht eine eigene Rechtsgrundlage. </w:t>
            </w:r>
            <w:r>
              <w:rPr>
                <w:b/>
              </w:rPr>
              <w:t>Datenminimierung:</w:t>
            </w:r>
            <w:r>
              <w:t xml:space="preserve"> Der Caterer benötigt nur die Zahl der Portionen je Gericht und die Zahl der Portionen ohne bestimmte Allergene – keine Namen und keine Bestellhistorien. Allergie-Angaben sind </w:t>
            </w:r>
            <w:r>
              <w:rPr>
                <w:b/>
              </w:rPr>
              <w:t>Gesundheitsdaten</w:t>
            </w:r>
            <w:r>
              <w:t xml:space="preserve"> und damit besonders geschützt; sie dürfen nur mit ausdrücklicher Einwilligung (bei Minderjährigen der Eltern) verarbeitet werden. Ein Elternportal darf Eltern höchstens die Daten ihres eigenen Kindes zeigen.</w:t>
            </w:r>
          </w:p>
          <w:p>
            <w:pPr>
              <w:pStyle w:val="DDTabellentext"/>
              <w:spacing w:after="60"/>
            </w:pPr>
            <w:r>
              <w:rPr>
                <w:b/>
              </w:rPr>
              <w:t>Technische Maßnahme:</w:t>
            </w:r>
            <w:r>
              <w:t xml:space="preserve"> Für den Caterer werden die Daten </w:t>
            </w:r>
            <w:r>
              <w:rPr>
                <w:b/>
              </w:rPr>
              <w:t>aggregiert</w:t>
            </w:r>
            <w:r>
              <w:t xml:space="preserve"> (Summen je Gericht und Allergen) bzw. pseudonymisiert übermittelt; die Übertragung erfolgt verschlüsselt, und im Elternportal regelt ein Rechtekonzept, dass nur berechtigte Personen ihre eigenen Daten sehen.</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Grundsätze nur genannt, ohne Bezug auf Allergie-Angaben, Caterer und Elternportal; kein Urteil.</w:t>
            </w:r>
          </w:p>
          <w:p>
            <w:pPr>
              <w:pStyle w:val="DDTabellentext"/>
            </w:pPr>
            <w:r>
              <w:rPr>
                <w:rFonts w:ascii="IBM Plex Mono" w:hAnsi="IBM Plex Mono" w:eastAsia="IBM Plex Mono" w:cs="IBM Plex Mono"/>
                <w:b/>
                <w:color w:val="B3261E"/>
                <w:sz w:val="15"/>
                <w:shd w:val="clear" w:color="auto" w:fill="F8E3DF"/>
              </w:rPr>
              <w:t>◆ P10</w:t>
            </w:r>
            <w:r>
              <w:t xml:space="preserve">  Datenschutz mit Datensicherheit verwechselt (nur „Passwort schützen“ als Antwort auf Zweckbindung).</w:t>
            </w:r>
          </w:p>
        </w:tc>
      </w:tr>
    </w:tbl>
    <w:p>
      <w:pPr>
        <w:spacing w:after="0" w:line="160" w:lineRule="exact"/>
      </w:pP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GP-gA</w:t>
      <w:tab/>
    </w:r>
    <w:r>
      <w:rPr>
        <w:rFonts w:ascii="IBM Plex Mono" w:hAnsi="IBM Plex Mono" w:eastAsia="IBM Plex Mono" w:cs="IBM Plex Mono"/>
        <w:b/>
        <w:color w:val="B3261E"/>
        <w:sz w:val="12"/>
        <w:spacing w:val="12"/>
      </w:rPr>
      <w:t>NUR LEHRKRAFT · LÖSUNG</w:t>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7 · DIE ERMITTLERPRÜFUNG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Generalprobe Datenbanken (gA)</dc:title>
  <dc:subject>Die Ermittlerprüfung</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7</vt:lpwstr>
  </property>
  <property fmtid="{D5CDD505-2E9C-101B-9397-08002B2CF9AE}" pid="3" name="DD-Art">
    <vt:lpwstr>erwartungshorizont</vt:lpwstr>
  </property>
  <property fmtid="{D5CDD505-2E9C-101B-9397-08002B2CF9AE}" pid="4" name="DD-Datenbank">
    <vt:lpwstr>verhoer/mensa</vt:lpwstr>
  </property>
  <property fmtid="{D5CDD505-2E9C-101B-9397-08002B2CF9AE}" pid="5" name="DD-Fassung">
    <vt:lpwstr>loesung</vt:lpwstr>
  </property>
  <property fmtid="{D5CDD505-2E9C-101B-9397-08002B2CF9AE}" pid="6" name="DD-Kompetenzen">
    <vt:lpwstr>{"GP-gA-a": ["DB-K02", "DB-K03", "DB-K05"], "GP-gA-b": ["DB-K08", "DB-K09", "DB-K10"], "GP-gA-c": ["DB-K17", "DB-K21", "DB-K23"], "GP-gA-d": ["DB-K24", "DB-K26", "DB-K27"], "GP-gA-e": ["DB-K28"], "GP-gA-f": ["DB-K44", "DB-K45", "DB-K46"]}</vt:lpwstr>
  </property>
  <property fmtid="{D5CDD505-2E9C-101B-9397-08002B2CF9AE}" pid="7" name="DD-Kuer">
    <vt:lpwstr>nein</vt:lpwstr>
  </property>
  <property fmtid="{D5CDD505-2E9C-101B-9397-08002B2CF9AE}" pid="8" name="DD-Material">
    <vt:lpwstr>GP-gA</vt:lpwstr>
  </property>
</Properties>
</file>