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Klausur Datenbanken (eA)</w:t>
            </w:r>
          </w:p>
          <w:p>
            <w:pPr>
              <w:pStyle w:val="DDTabellentext"/>
            </w:pPr>
            <w:r>
              <w:rPr>
                <w:color w:val="46525E"/>
              </w:rPr>
              <w:t>Kontext: Schulsanitätsdienst</w:t>
            </w:r>
          </w:p>
          <w:p>
            <w:pPr>
              <w:pStyle w:val="DDTabellentext"/>
            </w:pPr>
            <w:r>
              <w:rPr>
                <w:color w:val="46525E"/>
                <w:sz w:val="18"/>
              </w:rPr>
              <w:t>Bearbeitungszeit: 135 Minuten · Hilfsmittel: Operatorenübersicht, Ergänzende Hinweise §8 (Anlage)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Einsätze des Sanitätsdienstes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SanNr unterstrichen: Primärschlüssel, identifiziert jede Person im Sanitätsdienst eindeutig (1)</w:t>
            </w:r>
          </w:p>
          <w:p>
            <w:pPr>
              <w:pStyle w:val="DDTabellentext"/>
              <w:spacing w:after="60"/>
            </w:pPr>
            <w:r>
              <w:t xml:space="preserve">▸ </w:t>
            </w:r>
            <w:r>
              <w:rPr>
                <w:rFonts w:ascii="IBM Plex Mono" w:hAnsi="IBM Plex Mono" w:eastAsia="IBM Plex Mono" w:cs="IBM Plex Mono"/>
                <w:color w:val="B3261E"/>
              </w:rPr>
              <w:t>↑</w:t>
            </w:r>
            <w:r>
              <w:t>BetreuerNr: Fremdschlüssel, verweist auf Sanitaeter.SanNr derselben Relation (1)</w:t>
            </w:r>
          </w:p>
          <w:p>
            <w:pPr>
              <w:pStyle w:val="DDTabellentext"/>
              <w:spacing w:after="60"/>
            </w:pPr>
            <w:r>
              <w:t>▸ Bedeutung im Sachzusammenhang: Betreuung neuer durch erfahrene Mitglieder (rekursive Beziehung); anderer Name, weil SanNr schon vergeben ist; NULL bei der Leitung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 Paar (SanNr, EinsatzNr) kann nur eine Zeile und damit nur eine Rolle haben (1)</w:t>
            </w:r>
          </w:p>
          <w:p>
            <w:pPr>
              <w:pStyle w:val="DDTabellentext"/>
              <w:spacing w:after="60"/>
            </w:pPr>
            <w:r>
              <w:t>▸ Rollenwechsel erfordert zwei Zeilen mit demselben Paar → Schlüssel nicht mehr eindeutig, also ungeeignet (1)</w:t>
            </w:r>
          </w:p>
          <w:p>
            <w:pPr>
              <w:pStyle w:val="DDTabellentext"/>
              <w:spacing w:after="60"/>
            </w:pPr>
            <w:r>
              <w:t>▸ begründeter Vorschlag, z. B. Rolle in den Schlüssel aufnehmen (SanNr, EinsatzNr, Rolle) oder Beginn der Rolle speichern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Datum und Ort je Einsatz, Name und Klasse je Person mehrfach (1)</w:t>
            </w:r>
          </w:p>
          <w:p>
            <w:pPr>
              <w:pStyle w:val="DDTabellentext"/>
              <w:spacing w:after="60"/>
            </w:pPr>
            <w:r>
              <w:t>▸ Änderungsanomalie am Datensatz: Nika Kowalski mit 9a (Einsatz 34) und 9b (Einsatz 38) (1)</w:t>
            </w:r>
          </w:p>
          <w:p>
            <w:pPr>
              <w:pStyle w:val="DDTabellentext"/>
              <w:spacing w:after="60"/>
            </w:pPr>
            <w:r>
              <w:t>▸ Löschanomalie am Datensatz: Einsatz 35 (Mensa, 09.02.) steht nur in einer Zeile (1)</w:t>
            </w:r>
          </w:p>
          <w:p>
            <w:pPr>
              <w:pStyle w:val="DDTabellentext"/>
              <w:spacing w:after="60"/>
            </w:pPr>
            <w:r>
              <w:t>▸ Einfügeanomalie: neue Person ohne Einsatz bzw. Einsatz ohne eingesetzte Person nicht eintragbar (1)</w:t>
            </w:r>
          </w:p>
          <w:p>
            <w:pPr>
              <w:pStyle w:val="DDTabellentext"/>
              <w:spacing w:after="60"/>
            </w:pPr>
            <w:r>
              <w:t>▸ Zusammenhang zwischen Redundanz und Anomalie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Zeitraum Januar 2027 mit korrekten Datumsliteralen, z. B. BETWEEN '2027-01-01' AND '2027-01-31' (1)</w:t>
            </w:r>
          </w:p>
          <w:p>
            <w:pPr>
              <w:pStyle w:val="DDTabellentext"/>
              <w:spacing w:after="60"/>
            </w:pPr>
            <w:r>
              <w:t>▸ Ortsbedingung mit IN bzw. geklammertem OR (1)</w:t>
            </w:r>
          </w:p>
          <w:p>
            <w:pPr>
              <w:pStyle w:val="DDTabellentext"/>
              <w:spacing w:after="60"/>
            </w:pPr>
            <w:r>
              <w:t>▸ Ausgabe Datum, Uhrzeit, Art und ORDER BY Datum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zwei Tabellenaliase für Sanitaeter (Verbund der Relation mit sich selbst) (1)</w:t>
            </w:r>
          </w:p>
          <w:p>
            <w:pPr>
              <w:pStyle w:val="DDTabellentext"/>
              <w:spacing w:after="60"/>
            </w:pPr>
            <w:r>
              <w:t>▸ Verbundbedingung in der richtigen Richtung: s.BetreuerNr = b.SanNr (1)</w:t>
            </w:r>
          </w:p>
          <w:p>
            <w:pPr>
              <w:pStyle w:val="DDTabellentext"/>
              <w:spacing w:after="60"/>
            </w:pPr>
            <w:r>
              <w:t>▸ Ausgabe der vier Namensspalten mit Tabellenpräfix (1)</w:t>
            </w:r>
          </w:p>
          <w:p>
            <w:pPr>
              <w:pStyle w:val="DDTabellentext"/>
              <w:spacing w:after="60"/>
            </w:pPr>
            <w:r>
              <w:t>▸ unterscheidbare Spaltennamen (Alias) bzw. erkennbare Zuordnung von Person und Betreuung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Material – verbraucht (1)</w:t>
            </w:r>
          </w:p>
          <w:p>
            <w:pPr>
              <w:pStyle w:val="DDTabellentext"/>
              <w:spacing w:after="60"/>
            </w:pPr>
            <w:r>
              <w:t>▸ SUM(verbraucht.Menge) statt COUNT (1)</w:t>
            </w:r>
          </w:p>
          <w:p>
            <w:pPr>
              <w:pStyle w:val="DDTabellentext"/>
              <w:spacing w:after="60"/>
            </w:pPr>
            <w:r>
              <w:t>▸ GROUP BY Material.MatNr, Material.Bezeichnung (1)</w:t>
            </w:r>
          </w:p>
          <w:p>
            <w:pPr>
              <w:pStyle w:val="DDTabellentext"/>
              <w:spacing w:after="60"/>
            </w:pPr>
            <w:r>
              <w:t>▸ HAVING SUM(verbraucht.Menge) &gt; 20 (1)</w:t>
            </w:r>
          </w:p>
          <w:p>
            <w:pPr>
              <w:pStyle w:val="DDTabellentext"/>
              <w:spacing w:after="60"/>
            </w:pPr>
            <w:r>
              <w:t>▸ ORDER BY absteigend nach dem Verbrauch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die Person aus dem Sanitätsdienst, die bei den meisten Sportunfällen eingesetzt war, mit Anzahl (2)</w:t>
            </w:r>
          </w:p>
          <w:p>
            <w:pPr>
              <w:pStyle w:val="DDTabellentext"/>
              <w:spacing w:after="60"/>
            </w:pPr>
            <w:r>
              <w:t>▸ Klauseln: Verbund über eingesetzt, Filter Art = 'Sportunfall', Gruppierung je Person, absteigend, LIMIT 1 (1)</w:t>
            </w:r>
          </w:p>
          <w:p>
            <w:pPr>
              <w:pStyle w:val="DDTabellentext"/>
              <w:spacing w:after="60"/>
            </w:pPr>
            <w:r>
              <w:t>▸ Hinweis: Rolle spielt keine Rolle; bei Gleichstand würde nur eine Person ausgegeben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Personen aus Sanitaeter abfragen (1)</w:t>
            </w:r>
          </w:p>
          <w:p>
            <w:pPr>
              <w:pStyle w:val="DDTabellentext"/>
              <w:spacing w:after="60"/>
            </w:pPr>
            <w:r>
              <w:t>▸ Schritt 2: alle SanNr abfragen, die in eingesetzt vorkommen (DISTINCT) (1)</w:t>
            </w:r>
          </w:p>
          <w:p>
            <w:pPr>
              <w:pStyle w:val="DDTabellentext"/>
              <w:spacing w:after="60"/>
            </w:pPr>
            <w:r>
              <w:t>▸ Vergleich der Listen: wer in Schritt 1, aber nicht in Schritt 2 vorkommt;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Fortbildungsprogramm und Einsatzprotokolle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Entitätstypen Sanitaeter, Kurs, Referent mit Attributen (2) und unterstrichenen Schlüsselattributen (1)</w:t>
            </w:r>
          </w:p>
          <w:p>
            <w:pPr>
              <w:pStyle w:val="DDTabellentext"/>
              <w:spacing w:after="60"/>
            </w:pPr>
            <w:r>
              <w:t>▸ haelt: Referent 1 – Kurs n (1)</w:t>
            </w:r>
          </w:p>
          <w:p>
            <w:pPr>
              <w:pStyle w:val="DDTabellentext"/>
              <w:spacing w:after="60"/>
            </w:pPr>
            <w:r>
              <w:t>▸ nimmtTeil: Sanitaeter n – Kurs m (1) mit Beziehungsattributen Datum und Bestanden (1)</w:t>
            </w:r>
          </w:p>
          <w:p>
            <w:pPr>
              <w:pStyle w:val="DDTabellentext"/>
              <w:spacing w:after="60"/>
            </w:pPr>
            <w:r>
              <w:t>▸ assistiert als zweiter, eigener Beziehungstyp zwischen Sanitaeter und Kurs, n:m (1)</w:t>
            </w:r>
          </w:p>
          <w:p>
            <w:pPr>
              <w:pStyle w:val="DDTabellentext"/>
              <w:spacing w:after="60"/>
            </w:pPr>
            <w:r>
              <w:t>▸ setztVoraus rekursiv an Kurs (1), n:m mit Rollen (z. B. Aufbaukurs/Voraussetzung) (1)</w:t>
            </w:r>
          </w:p>
          <w:p>
            <w:pPr>
              <w:pStyle w:val="DDTabellentext"/>
              <w:spacing w:after="60"/>
            </w:pPr>
            <w:r>
              <w:t>▸ Benennung nach EH (Verben in lowerCamelCase, Entitätstypen im Singular)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5</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10</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haelt: ein Kurs hat genau eine Referentin bzw. einen Referenten, diese können mehrere Kurse halten → 1:n (1)</w:t>
            </w:r>
          </w:p>
          <w:p>
            <w:pPr>
              <w:pStyle w:val="DDTabellentext"/>
              <w:spacing w:after="60"/>
            </w:pPr>
            <w:r>
              <w:t>▸ nimmtTeil: eine Person kann an mehreren Kursen teilnehmen, ein Kurs hat mehrere Teilnehmende → n:m (1)</w:t>
            </w:r>
          </w:p>
          <w:p>
            <w:pPr>
              <w:pStyle w:val="DDTabellentext"/>
              <w:spacing w:after="60"/>
            </w:pPr>
            <w:r>
              <w:t>▸ Kardinalität jeweils in beide Richtungen gelesen und am Text belegt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Kardinalitäten 1, n, m drücken nur „eins“ bzw. „beliebig viele“ aus; eine Höchstzahl ist nicht darstellbar (1)</w:t>
            </w:r>
          </w:p>
          <w:p>
            <w:pPr>
              <w:pStyle w:val="DDTabellentext"/>
              <w:spacing w:after="60"/>
            </w:pPr>
            <w:r>
              <w:t>▸ Urteil: Aussage falsch; die Grenze muss z. B. in der Anwendung bzw. als Integritätsbedingung geprüft werden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Relationen Sanitaeter, Kurs, Referent mit Primärschlüsseln (1)</w:t>
            </w:r>
          </w:p>
          <w:p>
            <w:pPr>
              <w:pStyle w:val="DDTabellentext"/>
              <w:spacing w:after="60"/>
            </w:pPr>
            <w:r>
              <w:t xml:space="preserve">▸ Kurs mit Fremdschlüssel </w:t>
            </w:r>
            <w:r>
              <w:rPr>
                <w:rFonts w:ascii="IBM Plex Mono" w:hAnsi="IBM Plex Mono" w:eastAsia="IBM Plex Mono" w:cs="IBM Plex Mono"/>
                <w:color w:val="B3261E"/>
              </w:rPr>
              <w:t>↑</w:t>
            </w:r>
            <w:r>
              <w:t>ReferentNr (1:n auf der n-Seite) (1)</w:t>
            </w:r>
          </w:p>
          <w:p>
            <w:pPr>
              <w:pStyle w:val="DDTabellentext"/>
              <w:spacing w:after="60"/>
            </w:pPr>
            <w:r>
              <w:t>▸ nimmtTeil mit zusammengesetztem Primärschlüssel aus zwei Fremdschlüsseln (1) und Datum, Bestanden (1)</w:t>
            </w:r>
          </w:p>
          <w:p>
            <w:pPr>
              <w:pStyle w:val="DDTabellentext"/>
              <w:spacing w:after="60"/>
            </w:pPr>
            <w:r>
              <w:t>▸ assistiert als eigene Relation (1)</w:t>
            </w:r>
          </w:p>
          <w:p>
            <w:pPr>
              <w:pStyle w:val="DDTabellentext"/>
              <w:spacing w:after="60"/>
            </w:pPr>
            <w:r>
              <w:t>▸ setztVoraus mit zwei Fremdschlüsseln auf Kurs, einer davon umbenannt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haelt ist 1:n: jeder Kurs hat genau einen Verweis → ein Fremdschlüssel in Kurs genügt (1)</w:t>
            </w:r>
          </w:p>
          <w:p>
            <w:pPr>
              <w:pStyle w:val="DDTabellentext"/>
              <w:spacing w:after="60"/>
            </w:pPr>
            <w:r>
              <w:t>▸ setztVoraus ist n:m: ein Kurs kann mehrere Voraussetzungen haben → ein einzelnes Attribut reicht nicht, eigene Relation mit zwei Fremdschlüsseln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Funkgeraet mit GeraetNr (Schlüssel) und Typ; Sanitaeter und Einsatz mit Schlüsseln (1)</w:t>
            </w:r>
          </w:p>
          <w:p>
            <w:pPr>
              <w:pStyle w:val="DDTabellentext"/>
              <w:spacing w:after="60"/>
            </w:pPr>
            <w:r>
              <w:t xml:space="preserve">▸ Sanitaeter 1 – Funkgeraet n aus dem Fremdschlüssel </w:t>
            </w:r>
            <w:r>
              <w:rPr>
                <w:rFonts w:ascii="IBM Plex Mono" w:hAnsi="IBM Plex Mono" w:eastAsia="IBM Plex Mono" w:cs="IBM Plex Mono"/>
                <w:color w:val="B3261E"/>
              </w:rPr>
              <w:t>↑</w:t>
            </w:r>
            <w:r>
              <w:t>SanNr (1)</w:t>
            </w:r>
          </w:p>
          <w:p>
            <w:pPr>
              <w:pStyle w:val="DDTabellentext"/>
              <w:spacing w:after="60"/>
            </w:pPr>
            <w:r>
              <w:t>▸ Funkgeraet n – Einsatz m mit Beziehungsattribut Ausgabezeit aus der Relation Ausgabe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Gesundheitsdaten (Verletzungsart, Vorerkrankungen) als besondere Kategorie erkannt (1)</w:t>
            </w:r>
          </w:p>
          <w:p>
            <w:pPr>
              <w:pStyle w:val="DDTabellentext"/>
              <w:spacing w:after="60"/>
            </w:pPr>
            <w:r>
              <w:t>▸ zwei Grundsätze am Fall angewendet, z. B. Zweckbindung (Statistik, Einsicht der Klassenlehrkräfte) und Datenminimierung (Statistik ohne Namen) (1)</w:t>
            </w:r>
          </w:p>
          <w:p>
            <w:pPr>
              <w:pStyle w:val="DDTabellentext"/>
              <w:spacing w:after="60"/>
            </w:pPr>
            <w:r>
              <w:t>▸ begründetes Urteil (1)</w:t>
            </w:r>
          </w:p>
          <w:p>
            <w:pPr>
              <w:pStyle w:val="DDTabellentext"/>
              <w:spacing w:after="60"/>
            </w:pPr>
            <w:r>
              <w:t>▸ technische Maßnahme erläutert, z. B. Verschlüsselung, Rollen- und Rechtekonzept, Pseudonymisierung der Statistik, Speicherfristen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Gesamt:</w:t>
      </w:r>
      <w:r>
        <w:t xml:space="preserve"> 60 BE · AFB I 18 BE (30 %) · II 31 BE (52 %) · III 11 BE (18 %). </w:t>
      </w:r>
      <w:r>
        <w:rPr>
          <w:b/>
        </w:rPr>
        <w:t>Kürzung auf 45 BE (modular):</w:t>
      </w:r>
      <w:r>
        <w:t xml:space="preserve"> Aufgabe A a, c, e, f, g (21 BE) und Aufgabe B a, c, d, e, g (24 BE); Bearbeitungszeit dann 90 Minuten.</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 Rechte Spalte: gekürzte Fassung mit 45 BE.</w:t>
      </w:r>
    </w:p>
    <w:tbl>
      <w:tblPr>
        <w:tblStyle w:val="Datentabelle"/>
        <w:jc w:val="left"/>
        <w:tblLayout w:type="fixed"/>
        <w:tblLook w:firstColumn="1" w:firstRow="1" w:lastColumn="0" w:lastRow="0" w:noHBand="0" w:noVBand="1" w:val="04A0"/>
        <w:tblW w:w="6633" w:type="dxa"/>
      </w:tblPr>
      <w:tblGrid>
        <w:gridCol w:w="1474"/>
        <w:gridCol w:w="850"/>
        <w:gridCol w:w="1360"/>
        <w:gridCol w:w="1474"/>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60)</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57–60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54–56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51–53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48–50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45–47</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42–44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33–35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p>
      <w:r>
        <w:rPr>
          <w:i/>
        </w:rPr>
        <w:t>Material 2 · Ausschnitte aus den Tabellen – siehe Aufgabenblatt.</w:t>
      </w:r>
    </w:p>
    <w:p>
      <w:r>
        <w:rPr>
          <w:i/>
        </w:rPr>
        <w:t>Material 3 · Tabelle EinsatzListe – siehe Aufgabenblatt.</w:t>
      </w:r>
    </w:p>
    <w:p>
      <w:pPr>
        <w:keepNext/>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SanNr ist unterstrichen und damit </w:t>
            </w:r>
            <w:r>
              <w:rPr>
                <w:b/>
              </w:rPr>
              <w:t>Primärschlüssel</w:t>
            </w:r>
            <w:r>
              <w:t xml:space="preserve"> der Relation. </w:t>
            </w:r>
            <w:r>
              <w:rPr>
                <w:rFonts w:ascii="IBM Plex Mono" w:hAnsi="IBM Plex Mono" w:eastAsia="IBM Plex Mono" w:cs="IBM Plex Mono"/>
                <w:color w:val="B3261E"/>
              </w:rPr>
              <w:t>↑</w:t>
            </w:r>
            <w:r>
              <w:t xml:space="preserve">BetreuerNr ist ein </w:t>
            </w:r>
            <w:r>
              <w:rPr>
                <w:b/>
              </w:rPr>
              <w:t>Fremdschlüssel</w:t>
            </w:r>
            <w:r>
              <w:t xml:space="preserve">: Sein Wert ist die SanNr einer anderen Person derselben Relation, nämlich der betreuenden Sanitäterin bzw. des betreuenden Sanitäters (z. B. wird Keno Ahrensfeld, SanNr 3, von SanNr 1 betreut). Damit ist die rekursive Beziehung </w:t>
            </w:r>
            <w:r>
              <w:rPr>
                <w:i/>
              </w:rPr>
              <w:t>betreut</w:t>
            </w:r>
            <w:r>
              <w:t xml:space="preserve"> umgesetzt. Der Fremdschlüssel trägt einen eigenen Namen, weil es SanNr in der Relation schon gibt. Bei der Leitung (SanNr 1 und 2) ist er NULL.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BetreuerNr als Verweis auf eine (nicht vorhandene) Relation Betreuer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 („PK“, „FK“) ohne Erläuterung im Sachzusammenhang.</w:t>
            </w:r>
          </w:p>
        </w:tc>
      </w:tr>
    </w:tbl>
    <w:p>
      <w:pPr>
        <w:spacing w:after="0" w:line="160" w:lineRule="exact"/>
      </w:pPr>
    </w:p>
    <w:p>
      <w:pPr>
        <w:keepNext/>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Ohne Rollenwechsel ist das Paar geeignet: Jede Person ist bei einem Einsatz höchstens einmal eingesetzt. Mit Rollenwechsel müsste dieselbe Person beim selben Einsatz zweimal gespeichert werden (z. B. Jule Witte beim Sportfest-Einsatz 9 erst als Assistenz, dann als Ersthelferin). Das Paar (SanNr, EinsatzNr) wäre dann nicht mehr eindeutig und ist als Primärschlüssel </w:t>
            </w:r>
            <w:r>
              <w:rPr>
                <w:b/>
              </w:rPr>
              <w:t>ungeeignet</w:t>
            </w:r>
            <w:r>
              <w:t>. Abhilfe: Rolle in den Primärschlüssel aufnehmen (SanNr, EinsatzNr, Rolle) – sofern niemand dieselbe Rolle zweimal übernimmt – oder zusätzlich den Zeitpunkt des Rollenbeginns speichern.</w:t>
            </w:r>
          </w:p>
          <w:p>
            <w:pPr>
              <w:pStyle w:val="DDTabellentext"/>
              <w:spacing w:after="60"/>
            </w:pPr>
            <w:r>
              <w:t>Kernpunkte und Teilpunkte: siehe Bewertungsbogen.</w:t>
            </w:r>
          </w:p>
          <w:p>
            <w:pPr>
              <w:pStyle w:val="DDTabellentext"/>
            </w:pPr>
            <w:r>
              <w:rPr>
                <w:b/>
              </w:rPr>
              <w:t>Auch richtig:</w:t>
            </w:r>
          </w:p>
          <w:p>
            <w:pPr>
              <w:pStyle w:val="DDTabellentext"/>
              <w:spacing w:after="60"/>
            </w:pPr>
            <w:r>
              <w:t>Künstlicher Schlüssel (EinsatzRolleNr) mit begründeter Beurteilung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Eignung am Tabellenausschnitt beurteilt („kommt nicht doppelt vor“), ohne den Rollenwechsel.</w:t>
            </w:r>
          </w:p>
          <w:p>
            <w:pPr>
              <w:pStyle w:val="DDTabellentext"/>
            </w:pPr>
            <w:r>
              <w:rPr>
                <w:rFonts w:ascii="IBM Plex Mono" w:hAnsi="IBM Plex Mono" w:eastAsia="IBM Plex Mono" w:cs="IBM Plex Mono"/>
                <w:b/>
                <w:color w:val="B3261E"/>
                <w:sz w:val="15"/>
                <w:shd w:val="clear" w:color="auto" w:fill="F8E3DF"/>
              </w:rPr>
              <w:t>◆ P10</w:t>
            </w:r>
            <w:r>
              <w:t xml:space="preserve">  Urteil ohne Begründung („nein, weil Rollen wechseln“).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EinsatzListe sind Einsatz und Person zusammengelegt. </w:t>
            </w:r>
            <w:r>
              <w:rPr>
                <w:b/>
              </w:rPr>
              <w:t>Redundant</w:t>
            </w:r>
            <w:r>
              <w:t xml:space="preserve"> sind Datum und Ort je Einsatz (Einsatz 34 dreimal) sowie Name und Klasse je Person (Rune Kahrs zweimal, Nika Kowalski zweimal).</w:t>
            </w:r>
          </w:p>
          <w:p>
            <w:pPr>
              <w:pStyle w:val="DDTabellentext"/>
              <w:spacing w:after="60"/>
            </w:pPr>
            <w:r>
              <w:rPr>
                <w:b/>
              </w:rPr>
              <w:t>Änderungsanomalie:</w:t>
            </w:r>
            <w:r>
              <w:t xml:space="preserve"> Ein Klassenwechsel muss in allen Zeilen nachgetragen werden – bei Nika Kowalski ist das schon schiefgegangen (9a in Einsatz 34, 9b in Einsatz 38).</w:t>
            </w:r>
          </w:p>
          <w:p>
            <w:pPr>
              <w:pStyle w:val="DDTabellentext"/>
              <w:spacing w:after="60"/>
            </w:pPr>
            <w:r>
              <w:rPr>
                <w:b/>
              </w:rPr>
              <w:t>Löschanomalie:</w:t>
            </w:r>
            <w:r>
              <w:t xml:space="preserve"> Einsatz 35 (Mensa, 09.02.2027, Kreislauf) steht nur in der Zeile von Marit Lienemann. Wird diese Zeile gelöscht, ist der ganze Einsatz verschwunden.</w:t>
            </w:r>
          </w:p>
          <w:p>
            <w:pPr>
              <w:pStyle w:val="DDTabellentext"/>
              <w:spacing w:after="60"/>
            </w:pPr>
            <w:r>
              <w:rPr>
                <w:b/>
              </w:rPr>
              <w:t>Einfügeanomalie:</w:t>
            </w:r>
            <w:r>
              <w:t xml:space="preserve"> Eine neue Sanitäterin, die noch nicht eingesetzt war (z. B. Mats Engelken), lässt sich nicht eintragen, ohne eine Einsatzzeile zu erfinden.</w:t>
            </w:r>
          </w:p>
          <w:p>
            <w:pPr>
              <w:pStyle w:val="DDTabellentext"/>
              <w:spacing w:after="60"/>
            </w:pPr>
            <w:r>
              <w:t>Die Anomalien entstehen, weil Angaben, die nur von der Person bzw. nur vom Einsatz abhängen, in jeder Zeile wiederholt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Anomaliearten nur definiert, ohne Zeilen aus Material 3.</w:t>
            </w:r>
          </w:p>
          <w:p>
            <w:pPr>
              <w:pStyle w:val="DDTabellentext"/>
            </w:pPr>
            <w:r>
              <w:rPr>
                <w:rFonts w:ascii="IBM Plex Mono" w:hAnsi="IBM Plex Mono" w:eastAsia="IBM Plex Mono" w:cs="IBM Plex Mono"/>
                <w:b/>
                <w:color w:val="B3261E"/>
                <w:sz w:val="15"/>
                <w:shd w:val="clear" w:color="auto" w:fill="F8E3DF"/>
              </w:rPr>
              <w:t>◆ P10</w:t>
            </w:r>
            <w:r>
              <w:t xml:space="preserve">  Zwei Zeilen von Rune Kahrs als „Fehler“ gewertet – sie sind korrekt, nur redundant.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Datum, Uhrzeit, Art</w:t>
              <w:br/>
              <w:t>FROM Einsatz</w:t>
              <w:br/>
              <w:t>WHERE Datum BETWEEN '2027-01-01' AND '2027-01-31'</w:t>
              <w:br/>
              <w:t xml:space="preserve">  AND Ort IN ('Sporthalle', 'Pausenhof')</w:t>
              <w:br/>
              <w:t>ORDER BY Datum</w:t>
            </w:r>
          </w:p>
          <w:tbl>
            <w:tblPr>
              <w:tblStyle w:val="Ergebnistabelle"/>
              <w:jc w:val="left"/>
              <w:tblLayout w:type="fixed"/>
              <w:tblLook w:firstColumn="1" w:firstRow="1" w:lastColumn="0" w:lastRow="0" w:noHBand="0" w:noVBand="1" w:val="04A0"/>
              <w:tblW w:w="4309" w:type="dxa"/>
            </w:tblPr>
            <w:tblGrid>
              <w:gridCol w:w="1474"/>
              <w:gridCol w:w="1134"/>
              <w:gridCol w:w="1701"/>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Uhrzeit</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Art</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10:20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Prellung</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13:40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Schnittwunde</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08:30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Kreislauf</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09:55</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bl>
          <w:p>
            <w:pPr>
              <w:pStyle w:val="DDAbstand"/>
            </w:pPr>
          </w:p>
          <w:p>
            <w:pPr>
              <w:pStyle w:val="DDTabellentext"/>
              <w:spacing w:after="60"/>
            </w:pPr>
            <w:r>
              <w:t>Die Einsätze am 18.12.2026 und am 01.02.2027 (Sporthalle) sowie der am 11.01.2027 im Sporthallenflur gehören nicht dazu.</w:t>
            </w:r>
          </w:p>
          <w:p>
            <w:pPr>
              <w:pStyle w:val="DDTabellentext"/>
              <w:spacing w:after="60"/>
            </w:pPr>
            <w:r>
              <w:t>Kernpunkte und Teilpunkte: siehe Bewertungsbogen.</w:t>
            </w:r>
          </w:p>
          <w:p>
            <w:pPr>
              <w:pStyle w:val="DDTabellentext"/>
            </w:pPr>
            <w:r>
              <w:rPr>
                <w:b/>
              </w:rPr>
              <w:t>Auch richtig:</w:t>
            </w:r>
          </w:p>
          <w:p>
            <w:pPr>
              <w:pStyle w:val="SQL-Code"/>
            </w:pPr>
            <w:r>
              <w:t>SELECT Datum, Uhrzeit, Art</w:t>
              <w:br/>
              <w:t>FROM Einsatz</w:t>
              <w:br/>
              <w:t>WHERE Datum LIKE '2027-01-%'</w:t>
              <w:br/>
              <w:t xml:space="preserve">  AND (Ort = 'Sporthalle' OR Ort = 'Pausenhof')</w:t>
              <w:br/>
              <w:t>ORDER BY Datum</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P6</w:t>
            </w:r>
            <w:r>
              <w:t xml:space="preserve">  OR ohne Klammern: Ort = 'Sporthalle' OR Ort = 'Pausenhof' AND … liefert alle Sporthallen-Einsätze.</w:t>
            </w:r>
          </w:p>
          <w:p>
            <w:pPr>
              <w:pStyle w:val="DDTabellentext"/>
            </w:pPr>
            <w:r>
              <w:rPr>
                <w:rFonts w:ascii="IBM Plex Mono" w:hAnsi="IBM Plex Mono" w:eastAsia="IBM Plex Mono" w:cs="IBM Plex Mono"/>
                <w:b/>
                <w:color w:val="B3261E"/>
                <w:sz w:val="15"/>
                <w:shd w:val="clear" w:color="auto" w:fill="F8E3DF"/>
              </w:rPr>
              <w:t>◆ P6</w:t>
            </w:r>
            <w:r>
              <w:t xml:space="preserve">  Ort LIKE 'Sporthalle%' – erfasst den Sporthallenflur.</w:t>
            </w:r>
          </w:p>
          <w:p>
            <w:pPr>
              <w:pStyle w:val="DDTabellentext"/>
            </w:pPr>
            <w:r>
              <w:rPr>
                <w:rFonts w:ascii="IBM Plex Mono" w:hAnsi="IBM Plex Mono" w:eastAsia="IBM Plex Mono" w:cs="IBM Plex Mono"/>
                <w:b/>
                <w:color w:val="B3261E"/>
                <w:sz w:val="15"/>
                <w:shd w:val="clear" w:color="auto" w:fill="F8E3DF"/>
              </w:rPr>
              <w:t>◆ P5</w:t>
            </w:r>
            <w:r>
              <w:t xml:space="preserve">  Datum als '01.01.2027' oder ohne Hochkommata.</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s.Vorname, s.Nachname, b.Vorname AS BetreuerVorname, b.Nachname AS BetreuerNachname</w:t>
              <w:br/>
              <w:t>FROM Sanitaeter s, Sanitaeter b</w:t>
              <w:br/>
              <w:t>WHERE s.BetreuerNr = b.SanNr</w:t>
            </w:r>
          </w:p>
          <w:tbl>
            <w:tblPr>
              <w:tblStyle w:val="Ergebnistabelle"/>
              <w:jc w:val="left"/>
              <w:tblLayout w:type="fixed"/>
              <w:tblLook w:firstColumn="1" w:firstRow="1" w:lastColumn="0" w:lastRow="0" w:noHBand="0" w:noVBand="1" w:val="04A0"/>
              <w:tblW w:w="6804" w:type="dxa"/>
            </w:tblPr>
            <w:tblGrid>
              <w:gridCol w:w="1134"/>
              <w:gridCol w:w="1474"/>
              <w:gridCol w:w="2041"/>
              <w:gridCol w:w="215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BetreuerVorname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Frieda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Glander</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Stelljes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Witte</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Taalke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Ergebnis: 16 Zeilen. Die Leitung (Tjark Holtorf, Svea Möhlmann) erscheint nicht als betreute Person, weil BetreuerNr dort NULL ist – das entspricht der Aufgabenstellung.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ohne Tabellenaliase (FROM Sanitaeter, Sanitaeter) bzw. Spalten ohne Präfix – mehrdeutig.</w:t>
            </w:r>
          </w:p>
          <w:p>
            <w:pPr>
              <w:pStyle w:val="DDTabellentext"/>
            </w:pPr>
            <w:r>
              <w:rPr>
                <w:rFonts w:ascii="IBM Plex Mono" w:hAnsi="IBM Plex Mono" w:eastAsia="IBM Plex Mono" w:cs="IBM Plex Mono"/>
                <w:b/>
                <w:color w:val="B3261E"/>
                <w:sz w:val="15"/>
                <w:shd w:val="clear" w:color="auto" w:fill="F8E3DF"/>
              </w:rPr>
              <w:t>◆ P7</w:t>
            </w:r>
            <w:r>
              <w:t xml:space="preserve">  Verbund vertauscht (s.SanNr = b.BetreuerNr): dann stehen die Betreuten in den Betreuer-Spalten.</w:t>
            </w:r>
          </w:p>
          <w:p>
            <w:pPr>
              <w:pStyle w:val="DDTabellentext"/>
            </w:pPr>
            <w:r>
              <w:rPr>
                <w:rFonts w:ascii="IBM Plex Mono" w:hAnsi="IBM Plex Mono" w:eastAsia="IBM Plex Mono" w:cs="IBM Plex Mono"/>
                <w:b/>
                <w:color w:val="B3261E"/>
                <w:sz w:val="15"/>
                <w:shd w:val="clear" w:color="auto" w:fill="F8E3DF"/>
              </w:rPr>
              <w:t>◆ P2</w:t>
            </w:r>
            <w:r>
              <w:t xml:space="preserve">  Verbundbedingung fehlt – Kreuzprodukt 18 × 18.</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Material.MatNr, Material.Bezeichnung, SUM(verbraucht.Menge) AS Verbrauch</w:t>
              <w:br/>
              <w:t>FROM Material, verbraucht</w:t>
              <w:br/>
              <w:t>WHERE Material.MatNr = verbraucht.MatNr</w:t>
              <w:br/>
              <w:t>GROUP BY Material.MatNr, Material.Bezeichnung</w:t>
              <w:br/>
              <w:t>HAVING SUM(verbraucht.Menge) &gt; 20</w:t>
              <w:br/>
              <w:t>ORDER BY Verbrauch DESC</w:t>
            </w:r>
          </w:p>
          <w:tbl>
            <w:tblPr>
              <w:tblStyle w:val="Ergebnistabelle"/>
              <w:jc w:val="left"/>
              <w:tblLayout w:type="fixed"/>
              <w:tblLook w:firstColumn="1" w:firstRow="1" w:lastColumn="0" w:lastRow="0" w:noHBand="0" w:noVBand="1" w:val="04A0"/>
              <w:tblW w:w="5216" w:type="dxa"/>
            </w:tblPr>
            <w:tblGrid>
              <w:gridCol w:w="907"/>
              <w:gridCol w:w="2948"/>
              <w:gridCol w:w="136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Verbrauch</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Einmalhandschuhe (Paar)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Kühlpack</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Desinfektionstuch</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Pflaster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Mullbinde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21</w:t>
                  </w:r>
                </w:p>
              </w:tc>
            </w:tr>
          </w:tbl>
          <w:p>
            <w:pPr>
              <w:pStyle w:val="DDAbstand"/>
            </w:pPr>
          </w:p>
          <w:p>
            <w:pPr>
              <w:pStyle w:val="DDTabellentext"/>
              <w:spacing w:after="60"/>
            </w:pPr>
            <w:r>
              <w:t>Die Kompresse mit genau 20 Stück gehört nicht dazu.</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SUM(…) &gt; 20 in WHERE.</w:t>
            </w:r>
          </w:p>
          <w:p>
            <w:pPr>
              <w:pStyle w:val="DDTabellentext"/>
            </w:pPr>
            <w:r>
              <w:rPr>
                <w:rFonts w:ascii="IBM Plex Mono" w:hAnsi="IBM Plex Mono" w:eastAsia="IBM Plex Mono" w:cs="IBM Plex Mono"/>
                <w:b/>
                <w:color w:val="B3261E"/>
                <w:sz w:val="15"/>
                <w:shd w:val="clear" w:color="auto" w:fill="F8E3DF"/>
              </w:rPr>
              <w:t>◆ P4</w:t>
            </w:r>
            <w:r>
              <w:t xml:space="preserve">  COUNT(*) &gt; 20 – zählt Einsätze, nicht Stück (nur drei Materialien).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MatNr nicht im GROUP BY.</w:t>
            </w:r>
          </w:p>
          <w:p>
            <w:pPr>
              <w:pStyle w:val="DDTabellentext"/>
            </w:pPr>
            <w:r>
              <w:rPr>
                <w:rFonts w:ascii="IBM Plex Mono" w:hAnsi="IBM Plex Mono" w:eastAsia="IBM Plex Mono" w:cs="IBM Plex Mono"/>
                <w:b/>
                <w:color w:val="B3261E"/>
                <w:sz w:val="15"/>
                <w:shd w:val="clear" w:color="auto" w:fill="F8E3DF"/>
              </w:rPr>
              <w:t>◆ P7</w:t>
            </w:r>
            <w:r>
              <w:t xml:space="preserve">  SUM(Material.Bestand) statt des Verbrauchs.</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welche Sanitäterin bzw. welcher Sanitäter bei den </w:t>
            </w:r>
            <w:r>
              <w:rPr>
                <w:b/>
              </w:rPr>
              <w:t>meisten Sportunfällen</w:t>
            </w:r>
            <w:r>
              <w:t xml:space="preserve"> eingesetzt war – in welcher Rolle, ist egal – und gibt Nummer, Namen und Anzahl dieser Einsätze aus. Dazu werden die Einsätze über eingesetzt den Personen zugeordnet, nur Sportunfälle gezählt, je Person gruppiert, absteigend sortiert und nur die erste Zeile ausgegeben. Hätten zwei Personen gleich viele Einsätze, würde nur eine davon angezeigt.</w:t>
            </w:r>
          </w:p>
          <w:tbl>
            <w:tblPr>
              <w:tblStyle w:val="Ergebnistabelle"/>
              <w:jc w:val="left"/>
              <w:tblLayout w:type="fixed"/>
              <w:tblLook w:firstColumn="1" w:firstRow="1" w:lastColumn="0" w:lastRow="0" w:noHBand="0" w:noVBand="1" w:val="04A0"/>
              <w:tblW w:w="4309" w:type="dxa"/>
            </w:tblPr>
            <w:tblGrid>
              <w:gridCol w:w="907"/>
              <w:gridCol w:w="1134"/>
              <w:gridCol w:w="1247"/>
              <w:gridCol w:w="102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Beschreibung der Klauseln ohne Aussage über den Sanitätsdienst.</w:t>
            </w:r>
          </w:p>
          <w:p>
            <w:pPr>
              <w:pStyle w:val="DDTabellentext"/>
            </w:pPr>
            <w:r>
              <w:rPr>
                <w:rFonts w:ascii="IBM Plex Mono" w:hAnsi="IBM Plex Mono" w:eastAsia="IBM Plex Mono" w:cs="IBM Plex Mono"/>
                <w:b/>
                <w:color w:val="B3261E"/>
                <w:sz w:val="15"/>
                <w:shd w:val="clear" w:color="auto" w:fill="F8E3DF"/>
              </w:rPr>
              <w:t>◆ P10</w:t>
            </w:r>
            <w:r>
              <w:t xml:space="preserve">  „alle Sportunfälle“ – LIMIT 1 übersehen.</w:t>
            </w:r>
          </w:p>
        </w:tc>
      </w:tr>
    </w:tbl>
    <w:p>
      <w:pPr>
        <w:spacing w:after="0" w:line="160" w:lineRule="exact"/>
      </w:pPr>
    </w:p>
    <w:p>
      <w:pPr>
        <w:keepNext/>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Ein Verbund von Sanitaeter und eingesetzt liefert nur Personen, die </w:t>
            </w:r>
            <w:r>
              <w:rPr>
                <w:b/>
              </w:rPr>
              <w:t>mindestens einmal</w:t>
            </w:r>
            <w:r>
              <w:t xml:space="preserve"> eingesetzt waren – wer nie eingesetzt war, fällt heraus. Vorgehen in zwei Schritten:</w:t>
            </w:r>
          </w:p>
          <w:p>
            <w:pPr>
              <w:pStyle w:val="SQL-Code"/>
            </w:pPr>
            <w:r>
              <w:t>SELECT SanNr, Vorname, Nachname</w:t>
              <w:br/>
              <w:t>FROM Sanitaeter</w:t>
              <w:br/>
              <w:t>ORDER BY SanNr</w:t>
            </w:r>
          </w:p>
          <w:p>
            <w:pPr>
              <w:pStyle w:val="SQL-Code"/>
            </w:pPr>
            <w:r>
              <w:t>SELECT DISTINCT SanNr</w:t>
              <w:br/>
              <w:t>FROM eingesetzt</w:t>
              <w:br/>
              <w:t>ORDER BY SanNr</w:t>
            </w:r>
          </w:p>
          <w:p>
            <w:pPr>
              <w:pStyle w:val="DDTabellentext"/>
              <w:spacing w:after="60"/>
            </w:pPr>
            <w:r>
              <w:t>Wer in der ersten Liste steht, aber nicht in der zweiten, wurde noch nie eingesetzt (hier SanNr 16 Mats Engelken und 17 Tomke Beckhusen).</w:t>
            </w:r>
          </w:p>
          <w:p>
            <w:pPr>
              <w:pStyle w:val="DDTabellentext"/>
              <w:spacing w:after="60"/>
            </w:pPr>
            <w:r>
              <w:t>Kernpunkte und Teilpunkte: siehe Bewertungsbogen.</w:t>
            </w:r>
          </w:p>
          <w:p>
            <w:pPr>
              <w:pStyle w:val="DDTabellentext"/>
            </w:pPr>
            <w:r>
              <w:rPr>
                <w:b/>
              </w:rPr>
              <w:t>Auch richtig:</w:t>
            </w:r>
          </w:p>
          <w:p>
            <w:pPr>
              <w:pStyle w:val="DDTabellentext"/>
              <w:spacing w:after="60"/>
            </w:pPr>
            <w:r>
              <w:t>Anzahl der Einsätze je Person per Verbund und GROUP BY ermitteln und mit der Liste aller Personen vergleichen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Sanitaeter.SanNr != eingesetzt.SanNr – liefert fast alle Kombinationen.</w:t>
            </w:r>
          </w:p>
          <w:p>
            <w:pPr>
              <w:pStyle w:val="DDTabellentext"/>
            </w:pPr>
            <w:r>
              <w:rPr>
                <w:rFonts w:ascii="IBM Plex Mono" w:hAnsi="IBM Plex Mono" w:eastAsia="IBM Plex Mono" w:cs="IBM Plex Mono"/>
                <w:b/>
                <w:color w:val="B3261E"/>
                <w:sz w:val="15"/>
                <w:shd w:val="clear" w:color="auto" w:fill="F8E3DF"/>
              </w:rPr>
              <w:t>◆ P5</w:t>
            </w:r>
            <w:r>
              <w:t xml:space="preserve">  „WHERE EinsatzNr IS NULL“ im Verbund – im Verbund gibt es diese Zeilen gar nicht.</w:t>
            </w:r>
          </w:p>
        </w:tc>
      </w:tr>
    </w:tbl>
    <w:p>
      <w:pPr>
        <w:spacing w:after="0" w:line="160" w:lineRule="exact"/>
      </w:pPr>
    </w:p>
    <w:p>
      <w:pPr>
        <w:pStyle w:val="Heading1"/>
        <w:pageBreakBefore/>
      </w:pPr>
      <w:r>
        <w:t>Aufgabe B · Fortbildungsprogramm und Einsatzprotokolle (30 BE)</w:t>
      </w:r>
    </w:p>
    <w:p>
      <w:r>
        <w:t>Der Sanitätsdienst (Aufgabe A) plant eine Erweiterung seiner Datenbank.</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„Fortbildungsprogramm“</w:t>
            </w:r>
          </w:p>
          <w:p>
            <w:pPr>
              <w:pStyle w:val="DDTabellentext"/>
              <w:spacing w:after="60"/>
            </w:pPr>
            <w:r>
              <w:t>Der Sanitätsdienst bietet Fortbildungskurse an. Jeder Kurs hat eine Nummer, einen Titel und eine Dauer in Stunden. Ein Kurs wird von genau einer externen Referentin bzw. einem externen Referenten gehalten; von ihnen werden eine Nummer, der Name und die Organisation gespeichert, für die sie tätig sind. Eine Referentin bzw. ein Referent kann mehrere Kurse halten. Sanitäterinnen und Sanitäter nehmen an Kursen teil; gespeichert werden das Datum der Teilnahme und ob der Kurs bestanden wurde. Erfahrene Sanitäterinnen und Sanitäter können außerdem in Kursen assistieren. Manche Kurse setzen andere Kurse voraus (z. B. setzt „AED-Training“ den „Erste-Hilfe-Grundkurs“ voraus); ein Kurs kann mehrere Voraussetzungen haben und selbst Voraussetzung für mehrere Kurse sein.</w:t>
            </w:r>
          </w:p>
        </w:tc>
      </w:tr>
    </w:tbl>
    <w:p>
      <w:pPr>
        <w:spacing w:after="0" w:line="160" w:lineRule="exact"/>
      </w:pPr>
    </w:p>
    <w:p>
      <w:r>
        <w:rPr>
          <w:i/>
        </w:rPr>
        <w:t>Material 5 · Ausschnitt eines Relationenschemas – siehe Aufgabenblatt.</w:t>
      </w:r>
    </w:p>
    <w:p>
      <w:r>
        <w:rPr>
          <w:i/>
        </w:rPr>
        <w:t>Material 6 · Digitale Einsatzprotokolle – siehe Aufgabenblatt.</w:t>
      </w:r>
    </w:p>
    <w:p>
      <w:pPr>
        <w:keepNext/>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2588984"/>
                  <wp:docPr id="1" name="Picture 1"/>
                  <wp:cNvGraphicFramePr>
                    <a:graphicFrameLocks noChangeAspect="1"/>
                  </wp:cNvGraphicFramePr>
                  <a:graphic>
                    <a:graphicData uri="http://schemas.openxmlformats.org/drawingml/2006/picture">
                      <pic:pic>
                        <pic:nvPicPr>
                          <pic:cNvPr id="0" name="er_140496738690896.png"/>
                          <pic:cNvPicPr/>
                        </pic:nvPicPr>
                        <pic:blipFill>
                          <a:blip r:embed="rId11"/>
                          <a:stretch>
                            <a:fillRect/>
                          </a:stretch>
                        </pic:blipFill>
                        <pic:spPr>
                          <a:xfrm>
                            <a:off x="0" y="0"/>
                            <a:ext cx="5544130" cy="2588984"/>
                          </a:xfrm>
                          <a:prstGeom prst="rect"/>
                        </pic:spPr>
                      </pic:pic>
                    </a:graphicData>
                  </a:graphic>
                </wp:inline>
              </w:drawing>
            </w:r>
          </w:p>
          <w:p>
            <w:pPr>
              <w:pStyle w:val="DDTabellentext"/>
              <w:spacing w:after="60"/>
            </w:pPr>
            <w:r>
              <w:t>Kernpunkte und Teilpunkte: siehe Bewertungsbogen.</w:t>
            </w:r>
          </w:p>
          <w:p>
            <w:pPr>
              <w:pStyle w:val="DDTabellentext"/>
            </w:pPr>
            <w:r>
              <w:rPr>
                <w:b/>
              </w:rPr>
              <w:t>Auch richtig:</w:t>
            </w:r>
          </w:p>
          <w:p>
            <w:pPr>
              <w:pStyle w:val="DDTabellentext"/>
              <w:spacing w:after="60"/>
            </w:pPr>
            <w:r>
              <w:t>Weitere sinnvolle Attribute (z. B. Klasse) oder andere Verben (z. B. besucht, unterstuetzt).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nimmtTeil und assistiert zu einer Beziehung zusammengefasst.</w:t>
            </w:r>
          </w:p>
          <w:p>
            <w:pPr>
              <w:pStyle w:val="DDTabellentext"/>
            </w:pPr>
            <w:r>
              <w:rPr>
                <w:rFonts w:ascii="IBM Plex Mono" w:hAnsi="IBM Plex Mono" w:eastAsia="IBM Plex Mono" w:cs="IBM Plex Mono"/>
                <w:b/>
                <w:color w:val="B3261E"/>
                <w:sz w:val="15"/>
                <w:shd w:val="clear" w:color="auto" w:fill="F8E3DF"/>
              </w:rPr>
              <w:t>◆ P9</w:t>
            </w:r>
            <w:r>
              <w:t xml:space="preserve">  Datum/Bestanden an Kurs oder Sanitaeter statt an nimmtTeil.</w:t>
            </w:r>
          </w:p>
          <w:p>
            <w:pPr>
              <w:pStyle w:val="DDTabellentext"/>
            </w:pPr>
            <w:r>
              <w:rPr>
                <w:rFonts w:ascii="IBM Plex Mono" w:hAnsi="IBM Plex Mono" w:eastAsia="IBM Plex Mono" w:cs="IBM Plex Mono"/>
                <w:b/>
                <w:color w:val="B3261E"/>
                <w:sz w:val="15"/>
                <w:shd w:val="clear" w:color="auto" w:fill="F8E3DF"/>
              </w:rPr>
              <w:t>◆ P9</w:t>
            </w:r>
            <w:r>
              <w:t xml:space="preserve">  setztVoraus als 1:n oder ohne Rollen; Kardinalität von haelt vertauscht.</w:t>
            </w:r>
          </w:p>
        </w:tc>
      </w:tr>
    </w:tbl>
    <w:p>
      <w:pPr>
        <w:spacing w:after="0" w:line="160" w:lineRule="exact"/>
      </w:pPr>
    </w:p>
    <w:p>
      <w:pPr>
        <w:keepNext/>
        <w:tabs>
          <w:tab w:pos="454" w:val="left"/>
        </w:tabs>
        <w:spacing w:before="160"/>
        <w:ind w:left="454" w:hanging="454"/>
      </w:pPr>
      <w:r>
        <w:rPr>
          <w:b/>
        </w:rPr>
        <w:t>b)</w:t>
        <w:tab/>
      </w:r>
      <w:r>
        <w:rPr>
          <w:b/>
        </w:rPr>
        <w:t>Begründen</w:t>
      </w:r>
      <w:r>
        <w:t xml:space="preserve"> Sie die Kardinalitäten der Beziehungstypen nimmtTeil und haelt im Sachzusammenhang.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haelt (1:n):</w:t>
            </w:r>
            <w:r>
              <w:t xml:space="preserve"> Laut Text wird ein Kurs von genau einer externen Person gehalten (Seite Referent: 1); eine Referentin kann aber mehrere Kurse halten (Seite Kurs: n).</w:t>
            </w:r>
          </w:p>
          <w:p>
            <w:pPr>
              <w:pStyle w:val="DDTabellentext"/>
              <w:spacing w:after="60"/>
            </w:pPr>
            <w:r>
              <w:rPr>
                <w:b/>
              </w:rPr>
              <w:t>nimmtTeil (n:m):</w:t>
            </w:r>
            <w:r>
              <w:t xml:space="preserve"> Eine Sanitäterin kann an mehreren Kursen teilnehmen, und an einem Kurs nehmen mehrere Sanitäterinnen und Sanitäter teil.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nur eine Leserichtung betrachtet.</w:t>
            </w:r>
          </w:p>
          <w:p>
            <w:pPr>
              <w:pStyle w:val="DDTabellentext"/>
            </w:pPr>
            <w:r>
              <w:rPr>
                <w:rFonts w:ascii="IBM Plex Mono" w:hAnsi="IBM Plex Mono" w:eastAsia="IBM Plex Mono" w:cs="IBM Plex Mono"/>
                <w:b/>
                <w:color w:val="B3261E"/>
                <w:sz w:val="15"/>
                <w:shd w:val="clear" w:color="auto" w:fill="F8E3DF"/>
              </w:rPr>
              <w:t>◆ P10</w:t>
            </w:r>
            <w:r>
              <w:t xml:space="preserve">  Kardinalität genannt, aber nicht am Text begründet.</w:t>
            </w:r>
          </w:p>
        </w:tc>
      </w:tr>
    </w:tbl>
    <w:p>
      <w:pPr>
        <w:spacing w:after="0" w:line="160" w:lineRule="exact"/>
      </w:pPr>
    </w:p>
    <w:p>
      <w:pPr>
        <w:keepNext/>
        <w:tabs>
          <w:tab w:pos="454" w:val="left"/>
        </w:tabs>
        <w:spacing w:before="160"/>
        <w:ind w:left="454" w:hanging="454"/>
      </w:pPr>
      <w:r>
        <w:rPr>
          <w:b/>
        </w:rPr>
        <w:t>c)</w:t>
        <w:tab/>
      </w:r>
      <w:r>
        <w:t xml:space="preserve">Die Leitung des Sanitätsdienstes behauptet: „Mit dem ER-Modell lässt sich sicherstellen, dass ein Kurs höchstens 12 Teilnehmende hat.“ </w:t>
      </w:r>
      <w:r>
        <w:rPr>
          <w:b/>
        </w:rPr>
        <w:t>Beurteilen</w:t>
      </w:r>
      <w:r>
        <w:t xml:space="preserve"> Sie diese Aussage.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Die Aussage trifft nicht zu. In der Chen-Notation nach EH gibt es nur die Kardinalitäten 1, n und m. Das „m“ bei nimmtTeil bedeutet „beliebig viele“ – eine Obergrenze von 12 lässt sich nicht ausdrücken. Sie muss zusätzlich festgehalten und z. B. von der Anwendung beim Anmelden geprüft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„stimmt, man schreibt 12 an die Kante“ – keine (min,max)-Notation im EH.</w:t>
            </w:r>
          </w:p>
        </w:tc>
      </w:tr>
    </w:tbl>
    <w:p>
      <w:pPr>
        <w:spacing w:after="0" w:line="160" w:lineRule="exact"/>
      </w:pPr>
    </w:p>
    <w:p>
      <w:pPr>
        <w:keepNext/>
        <w:tabs>
          <w:tab w:pos="454" w:val="left"/>
        </w:tabs>
        <w:spacing w:before="160"/>
        <w:ind w:left="454" w:hanging="454"/>
      </w:pPr>
      <w:r>
        <w:rPr>
          <w:b/>
        </w:rPr>
        <w:t>d)</w:t>
        <w:tab/>
      </w:r>
      <w:r>
        <w:rPr>
          <w:b/>
        </w:rPr>
        <w:t>Erstellen</w:t>
      </w:r>
      <w:r>
        <w:t xml:space="preserve"> Sie zu Ihrem ER-Modell aus Teilaufgabe a) das Relationenschema in Kurzschreibweise.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Vorname, Nachname, Klasse)</w:t>
            </w:r>
          </w:p>
          <w:p>
            <w:pPr>
              <w:spacing w:after="100"/>
            </w:pPr>
            <w:r>
              <w:rPr>
                <w:rFonts w:ascii="IBM Plex Mono" w:hAnsi="IBM Plex Mono" w:eastAsia="IBM Plex Mono" w:cs="IBM Plex Mono"/>
                <w:sz w:val="18"/>
              </w:rPr>
              <w:t>Referent(</w:t>
            </w:r>
            <w:r>
              <w:rPr>
                <w:rFonts w:ascii="IBM Plex Mono" w:hAnsi="IBM Plex Mono" w:eastAsia="IBM Plex Mono" w:cs="IBM Plex Mono"/>
                <w:sz w:val="18"/>
                <w:u w:val="single"/>
              </w:rPr>
              <w:t>ReferentNr</w:t>
            </w:r>
            <w:r>
              <w:rPr>
                <w:rFonts w:ascii="IBM Plex Mono" w:hAnsi="IBM Plex Mono" w:eastAsia="IBM Plex Mono" w:cs="IBM Plex Mono"/>
                <w:sz w:val="18"/>
              </w:rPr>
              <w:t>, Name, Organisation)</w:t>
            </w:r>
          </w:p>
          <w:p>
            <w:pPr>
              <w:spacing w:after="100"/>
            </w:pPr>
            <w:r>
              <w:rPr>
                <w:rFonts w:ascii="IBM Plex Mono" w:hAnsi="IBM Plex Mono" w:eastAsia="IBM Plex Mono" w:cs="IBM Plex Mono"/>
                <w:sz w:val="18"/>
              </w:rPr>
              <w:t>Kurs(</w:t>
            </w:r>
            <w:r>
              <w:rPr>
                <w:rFonts w:ascii="IBM Plex Mono" w:hAnsi="IBM Plex Mono" w:eastAsia="IBM Plex Mono" w:cs="IBM Plex Mono"/>
                <w:sz w:val="18"/>
                <w:u w:val="single"/>
              </w:rPr>
              <w:t>KursNr</w:t>
            </w:r>
            <w:r>
              <w:rPr>
                <w:rFonts w:ascii="IBM Plex Mono" w:hAnsi="IBM Plex Mono" w:eastAsia="IBM Plex Mono" w:cs="IBM Plex Mono"/>
                <w:sz w:val="18"/>
              </w:rPr>
              <w:t xml:space="preserve">, Titel, Dauer, </w:t>
            </w:r>
            <w:r>
              <w:rPr>
                <w:rFonts w:ascii="IBM Plex Mono" w:hAnsi="IBM Plex Mono" w:eastAsia="IBM Plex Mono" w:cs="IBM Plex Mono"/>
                <w:color w:val="B3261E"/>
                <w:sz w:val="18"/>
              </w:rPr>
              <w:t>↑</w:t>
            </w:r>
            <w:r>
              <w:rPr>
                <w:rFonts w:ascii="IBM Plex Mono" w:hAnsi="IBM Plex Mono" w:eastAsia="IBM Plex Mono" w:cs="IBM Plex Mono"/>
                <w:sz w:val="18"/>
              </w:rPr>
              <w:t>ReferentNr)</w:t>
            </w:r>
          </w:p>
          <w:p>
            <w:pPr>
              <w:spacing w:after="100"/>
            </w:pPr>
            <w:r>
              <w:rPr>
                <w:rFonts w:ascii="IBM Plex Mono" w:hAnsi="IBM Plex Mono" w:eastAsia="IBM Plex Mono" w:cs="IBM Plex Mono"/>
                <w:sz w:val="18"/>
              </w:rPr>
              <w:t>nimmtTeil(</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KursNr</w:t>
            </w:r>
            <w:r>
              <w:rPr>
                <w:rFonts w:ascii="IBM Plex Mono" w:hAnsi="IBM Plex Mono" w:eastAsia="IBM Plex Mono" w:cs="IBM Plex Mono"/>
                <w:sz w:val="18"/>
              </w:rPr>
              <w:t>, Datum, Bestanden)</w:t>
            </w:r>
          </w:p>
          <w:p>
            <w:pPr>
              <w:spacing w:after="100"/>
            </w:pPr>
            <w:r>
              <w:rPr>
                <w:rFonts w:ascii="IBM Plex Mono" w:hAnsi="IBM Plex Mono" w:eastAsia="IBM Plex Mono" w:cs="IBM Plex Mono"/>
                <w:sz w:val="18"/>
              </w:rPr>
              <w:t>assistiert(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KursNr</w:t>
            </w:r>
            <w:r>
              <w:rPr>
                <w:rFonts w:ascii="IBM Plex Mono" w:hAnsi="IBM Plex Mono" w:eastAsia="IBM Plex Mono" w:cs="IBM Plex Mono"/>
                <w:sz w:val="18"/>
              </w:rPr>
              <w:t>)</w:t>
            </w:r>
          </w:p>
          <w:p>
            <w:pPr>
              <w:spacing w:after="100"/>
            </w:pPr>
            <w:r>
              <w:rPr>
                <w:rFonts w:ascii="IBM Plex Mono" w:hAnsi="IBM Plex Mono" w:eastAsia="IBM Plex Mono" w:cs="IBM Plex Mono"/>
                <w:sz w:val="18"/>
              </w:rPr>
              <w:t>setztVoraus(</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KursNr,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VoraussetzungNr</w:t>
            </w:r>
            <w:r>
              <w:rPr>
                <w:rFonts w:ascii="IBM Plex Mono" w:hAnsi="IBM Plex Mono" w:eastAsia="IBM Plex Mono" w:cs="IBM Plex Mono"/>
                <w:sz w:val="18"/>
              </w:rPr>
              <w:t>)</w:t>
            </w:r>
          </w:p>
          <w:p>
            <w:pPr>
              <w:pStyle w:val="DDTabellentext"/>
              <w:spacing w:after="60"/>
            </w:pPr>
            <w:r>
              <w:t>Folgefehler aus a) werden nicht erneut abgezogen, wenn die Überführung zum eigenen Modell passt.</w:t>
            </w:r>
          </w:p>
          <w:p>
            <w:pPr>
              <w:pStyle w:val="DDTabellentext"/>
              <w:spacing w:after="60"/>
            </w:pPr>
            <w:r>
              <w:t>Kernpunkte und Teilpunkte: siehe Bewertungsbogen.</w:t>
            </w:r>
          </w:p>
          <w:p>
            <w:pPr>
              <w:pStyle w:val="DDTabellentext"/>
            </w:pPr>
            <w:r>
              <w:rPr>
                <w:b/>
              </w:rPr>
              <w:t>Auch richtig:</w:t>
            </w:r>
          </w:p>
          <w:p>
            <w:pPr>
              <w:pStyle w:val="DDTabellentext"/>
              <w:spacing w:after="60"/>
            </w:pPr>
            <w:r>
              <w:t>nimmtTeil mit Datum im Primärschlüssel, wenn Wiederholungen nicht bestandener Kurse möglich sein sollen – mit Begründung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w:t>
            </w:r>
            <w:r>
              <w:rPr>
                <w:rFonts w:ascii="IBM Plex Mono" w:hAnsi="IBM Plex Mono" w:eastAsia="IBM Plex Mono" w:cs="IBM Plex Mono"/>
                <w:color w:val="B3261E"/>
              </w:rPr>
              <w:t>↑</w:t>
            </w:r>
            <w:r>
              <w:t>KursNr in Referent (Fremdschlüssel auf der 1-Seite).</w:t>
            </w:r>
          </w:p>
          <w:p>
            <w:pPr>
              <w:pStyle w:val="DDTabellentext"/>
            </w:pPr>
            <w:r>
              <w:rPr>
                <w:rFonts w:ascii="IBM Plex Mono" w:hAnsi="IBM Plex Mono" w:eastAsia="IBM Plex Mono" w:cs="IBM Plex Mono"/>
                <w:b/>
                <w:color w:val="B3261E"/>
                <w:sz w:val="15"/>
                <w:shd w:val="clear" w:color="auto" w:fill="F8E3DF"/>
              </w:rPr>
              <w:t>◆ P9</w:t>
            </w:r>
            <w:r>
              <w:t xml:space="preserve">  setztVoraus(</w:t>
            </w:r>
            <w:r>
              <w:rPr>
                <w:rFonts w:ascii="IBM Plex Mono" w:hAnsi="IBM Plex Mono" w:eastAsia="IBM Plex Mono" w:cs="IBM Plex Mono"/>
                <w:color w:val="B3261E"/>
              </w:rPr>
              <w:t>↑</w:t>
            </w:r>
            <w:r>
              <w:t xml:space="preserve">KursNr, </w:t>
            </w:r>
            <w:r>
              <w:rPr>
                <w:rFonts w:ascii="IBM Plex Mono" w:hAnsi="IBM Plex Mono" w:eastAsia="IBM Plex Mono" w:cs="IBM Plex Mono"/>
                <w:color w:val="B3261E"/>
              </w:rPr>
              <w:t>↑</w:t>
            </w:r>
            <w:r>
              <w:t>KursNr) – zwei gleichnamige Attribute.</w:t>
            </w:r>
          </w:p>
        </w:tc>
      </w:tr>
    </w:tbl>
    <w:p>
      <w:pPr>
        <w:spacing w:after="0" w:line="160" w:lineRule="exact"/>
      </w:pPr>
    </w:p>
    <w:p>
      <w:pPr>
        <w:keepNext/>
        <w:tabs>
          <w:tab w:pos="454" w:val="left"/>
        </w:tabs>
        <w:spacing w:before="160"/>
        <w:ind w:left="454" w:hanging="454"/>
      </w:pPr>
      <w:r>
        <w:rPr>
          <w:b/>
        </w:rPr>
        <w:t>e)</w:t>
        <w:tab/>
      </w:r>
      <w:r>
        <w:rPr>
          <w:b/>
        </w:rPr>
        <w:t>Begründen</w:t>
      </w:r>
      <w:r>
        <w:t xml:space="preserve"> Sie, warum der Beziehungstyp setztVoraus als eigene Relation umgesetzt werden muss, während haelt durch einen Fremdschlüssel umgesetzt werden kann.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Bei haelt (1:n) gehört zu jedem Kurs genau eine Referentin bzw. ein Referent – ein einziger Wert </w:t>
            </w:r>
            <w:r>
              <w:rPr>
                <w:rFonts w:ascii="IBM Plex Mono" w:hAnsi="IBM Plex Mono" w:eastAsia="IBM Plex Mono" w:cs="IBM Plex Mono"/>
                <w:color w:val="B3261E"/>
              </w:rPr>
              <w:t>↑</w:t>
            </w:r>
            <w:r>
              <w:t>ReferentNr in Kurs reicht. setztVoraus ist dagegen n:m: Ein Kurs kann mehrere Voraussetzungen haben und Voraussetzung für mehrere Kurse sein. In Kurs müsste man dafür mehrere Werte in einer Zelle speichern (nicht atomar); deshalb entsteht eine eigene Relation mit zwei Fremdschlüsseln auf Kurs.</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„rekursiv ⇒ immer eigene Relation“ – entscheidend ist die Kardinalität.</w:t>
            </w:r>
          </w:p>
        </w:tc>
      </w:tr>
    </w:tbl>
    <w:p>
      <w:pPr>
        <w:spacing w:after="0" w:line="160" w:lineRule="exact"/>
      </w:pPr>
    </w:p>
    <w:p>
      <w:pPr>
        <w:keepNext/>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4680000" cy="1146799"/>
                  <wp:docPr id="2" name="Picture 2"/>
                  <wp:cNvGraphicFramePr>
                    <a:graphicFrameLocks noChangeAspect="1"/>
                  </wp:cNvGraphicFramePr>
                  <a:graphic>
                    <a:graphicData uri="http://schemas.openxmlformats.org/drawingml/2006/picture">
                      <pic:pic>
                        <pic:nvPicPr>
                          <pic:cNvPr id="0" name="er_140496738694224.png"/>
                          <pic:cNvPicPr/>
                        </pic:nvPicPr>
                        <pic:blipFill>
                          <a:blip r:embed="rId12"/>
                          <a:stretch>
                            <a:fillRect/>
                          </a:stretch>
                        </pic:blipFill>
                        <pic:spPr>
                          <a:xfrm>
                            <a:off x="0" y="0"/>
                            <a:ext cx="4680000" cy="1146799"/>
                          </a:xfrm>
                          <a:prstGeom prst="rect"/>
                        </pic:spPr>
                      </pic:pic>
                    </a:graphicData>
                  </a:graphic>
                </wp:inline>
              </w:drawing>
            </w:r>
          </w:p>
          <w:p>
            <w:pPr>
              <w:pStyle w:val="DDTabellentext"/>
              <w:spacing w:after="60"/>
            </w:pPr>
            <w:r>
              <w:t xml:space="preserve">Die Beziehungsnamen sind frei wählbar (z. B. </w:t>
            </w:r>
            <w:r>
              <w:rPr>
                <w:i/>
              </w:rPr>
              <w:t>gehoertZu</w:t>
            </w:r>
            <w:r>
              <w:t>, *wirdAusgegeben*).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Ausgabe als Entitätstyp ohne eigenes Schlüsselattribut.</w:t>
            </w:r>
          </w:p>
          <w:p>
            <w:pPr>
              <w:pStyle w:val="DDTabellentext"/>
            </w:pPr>
            <w:r>
              <w:rPr>
                <w:rFonts w:ascii="IBM Plex Mono" w:hAnsi="IBM Plex Mono" w:eastAsia="IBM Plex Mono" w:cs="IBM Plex Mono"/>
                <w:b/>
                <w:color w:val="B3261E"/>
                <w:sz w:val="15"/>
                <w:shd w:val="clear" w:color="auto" w:fill="F8E3DF"/>
              </w:rPr>
              <w:t>◆ P9</w:t>
            </w:r>
            <w:r>
              <w:t xml:space="preserve">  Kardinalität bei </w:t>
            </w:r>
            <w:r>
              <w:rPr>
                <w:rFonts w:ascii="IBM Plex Mono" w:hAnsi="IBM Plex Mono" w:eastAsia="IBM Plex Mono" w:cs="IBM Plex Mono"/>
                <w:color w:val="B3261E"/>
              </w:rPr>
              <w:t>↑</w:t>
            </w:r>
            <w:r>
              <w:t>SanNr vertauscht (Funkgeraet 1 – Sanitaeter n).</w:t>
            </w:r>
          </w:p>
        </w:tc>
      </w:tr>
    </w:tbl>
    <w:p>
      <w:pPr>
        <w:spacing w:after="0" w:line="160" w:lineRule="exact"/>
      </w:pPr>
    </w:p>
    <w:p>
      <w:pPr>
        <w:keepNext/>
        <w:tabs>
          <w:tab w:pos="454" w:val="left"/>
        </w:tabs>
        <w:spacing w:before="160"/>
        <w:ind w:left="454" w:hanging="454"/>
      </w:pPr>
      <w:r>
        <w:rPr>
          <w:b/>
        </w:rPr>
        <w:t>g)</w:t>
        <w:tab/>
      </w:r>
      <w:r>
        <w:rPr>
          <w:b/>
        </w:rPr>
        <w:t>Beurteilen</w:t>
      </w:r>
      <w:r>
        <w:t xml:space="preserve"> Sie das Vorhaben digitaler Einsatzprotokolle (Material 6) unter Bezug auf zwei Grundsätze der DSGVO und auf die besondere Kategorie der Gesundheitsdaten und erläutern Sie eine technische Maßnahme zum Schutz der Daten.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Angaben zu Verletzungen und Vorerkrankungen sind </w:t>
            </w:r>
            <w:r>
              <w:rPr>
                <w:b/>
              </w:rPr>
              <w:t>Gesundheitsdaten</w:t>
            </w:r>
            <w:r>
              <w:t xml:space="preserve"> und gehören zu den besonders geschützten Kategorien. Ihre Verarbeitung ist nur eng begrenzt zulässig (z. B. zur Versorgung und mit Einwilligung). </w:t>
            </w:r>
            <w:r>
              <w:rPr>
                <w:b/>
              </w:rPr>
              <w:t>Zweckbindung:</w:t>
            </w:r>
            <w:r>
              <w:t xml:space="preserve"> Die Protokolle dienen der Erstversorgung und der Dokumentation; eine Einsicht aller Klassenlehrkräfte geht darüber hinaus. </w:t>
            </w:r>
            <w:r>
              <w:rPr>
                <w:b/>
              </w:rPr>
              <w:t>Datenminimierung:</w:t>
            </w:r>
            <w:r>
              <w:t xml:space="preserve"> Die Schulleitung braucht für eine Statistik nur Anzahlen je Art und Ort – keine Namen und Klassen. Urteil: Das Vorhaben ist nur vertretbar, wenn die Statistik anonymisiert ist, die Einsicht auf die Leitung des Sanitätsdienstes beschränkt bleibt und die Cloud-Speicherung den Anforderungen genügt (Auftragsverarbeitung, Speicherort).</w:t>
            </w:r>
          </w:p>
          <w:p>
            <w:pPr>
              <w:pStyle w:val="DDTabellentext"/>
              <w:spacing w:after="60"/>
            </w:pPr>
            <w:r>
              <w:rPr>
                <w:b/>
              </w:rPr>
              <w:t>Technische Maßnahme:</w:t>
            </w:r>
            <w:r>
              <w:t xml:space="preserve"> Verschlüsselung der Protokolle bei Übertragung und Speicherung sowie ein Rechtekonzept, das Zugriff nur für die Leitung erlaubt; für die Statistik nur aggregierte Werte.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Grundsätze aufgezählt, ohne Bezug auf das Szenario und ohne Urteil.</w:t>
            </w:r>
          </w:p>
          <w:p>
            <w:pPr>
              <w:pStyle w:val="DDTabellentext"/>
            </w:pPr>
            <w:r>
              <w:rPr>
                <w:rFonts w:ascii="IBM Plex Mono" w:hAnsi="IBM Plex Mono" w:eastAsia="IBM Plex Mono" w:cs="IBM Plex Mono"/>
                <w:b/>
                <w:color w:val="B3261E"/>
                <w:sz w:val="15"/>
                <w:shd w:val="clear" w:color="auto" w:fill="F8E3DF"/>
              </w:rPr>
              <w:t>◆ P10</w:t>
            </w:r>
            <w:r>
              <w:t xml:space="preserve">  Datensicherheit (Passwort) als Antwort auf eine Frage der Zulässigkeit.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pruefung/sanitaetsdienst</vt:lpwstr>
  </property>
  <property fmtid="{D5CDD505-2E9C-101B-9397-08002B2CF9AE}" pid="5" name="DD-Fassung">
    <vt:lpwstr>loesung</vt:lpwstr>
  </property>
  <property fmtid="{D5CDD505-2E9C-101B-9397-08002B2CF9AE}" pid="6" name="DD-Kompetenzen">
    <vt:lpwstr>{"KL-A-a": ["DB-K03", "DB-K04", "DB-K05"], "KL-A-b": ["DB-K02"], "KL-A-c": ["DB-K07", "DB-K08", "DB-K09", "DB-K10"], "KL-A-d": ["DB-K15", "DB-K18", "DB-K21", "DB-K32"], "KL-A-e": ["DB-K16", "DB-K24"], "KL-A-f": ["DB-K21", "DB-K23", "DB-K25", "DB-K26", "DB-K27"], "KL-A-g": ["DB-K22", "DB-K28"], "KL-A-h": ["DB-K30"], "KL-B-a": ["DB-K35", "DB-K36", "DB-K37", "DB-K38", "DB-K47"], "KL-B-b": ["DB-K34"], "KL-B-c": ["DB-K40"], "KL-B-d": ["DB-K04", "DB-K41"], "KL-B-e": ["DB-K42"], "KL-B-f": ["DB-K43"], "KL-B-g": ["DB-K44", "DB-K45", "DB-K46"]}</vt:lpwstr>
  </property>
  <property fmtid="{D5CDD505-2E9C-101B-9397-08002B2CF9AE}" pid="7" name="DD-Kuer">
    <vt:lpwstr>nein</vt:lpwstr>
  </property>
  <property fmtid="{D5CDD505-2E9C-101B-9397-08002B2CF9AE}" pid="8" name="DD-Material">
    <vt:lpwstr>KL-eA</vt:lpwstr>
  </property>
</Properties>
</file>