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Nachschreibklausur Datenbanken (eA)</w:t>
            </w:r>
          </w:p>
          <w:p>
            <w:pPr>
              <w:pStyle w:val="DDTabellentext"/>
            </w:pPr>
            <w:r>
              <w:rPr>
                <w:color w:val="46525E"/>
              </w:rPr>
              <w:t>Kontext: Kostümverleih der Theater-AG</w:t>
            </w:r>
          </w:p>
          <w:p>
            <w:pPr>
              <w:pStyle w:val="DDTabellentext"/>
            </w:pPr>
            <w:r>
              <w:rPr>
                <w:color w:val="46525E"/>
                <w:sz w:val="18"/>
              </w:rPr>
              <w:t>Bearbeitungszeit: 135 Minuten · Hilfsmittel: Operatorenübersicht, Ergänzende Hinweise §8 (Anlage)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Kostümverleih der Theater-AG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AusleihNr bzw. MitgliedNr unterstrichen: Primärschlüssel (1)</w:t>
            </w:r>
          </w:p>
          <w:p>
            <w:pPr>
              <w:pStyle w:val="DDTabellentext"/>
              <w:spacing w:after="60"/>
            </w:pPr>
            <w:r>
              <w:t xml:space="preserve">▸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w:t>
            </w:r>
            <w:r>
              <w:rPr>
                <w:rFonts w:ascii="IBM Plex Mono" w:hAnsi="IBM Plex Mono" w:eastAsia="IBM Plex Mono" w:cs="IBM Plex Mono"/>
                <w:color w:val="B3261E"/>
              </w:rPr>
              <w:t>↑</w:t>
            </w:r>
            <w:r>
              <w:t>RollenNr in Ausleihe: Fremdschlüssel auf Kostuem, Mitglied, Rolle (1)</w:t>
            </w:r>
          </w:p>
          <w:p>
            <w:pPr>
              <w:pStyle w:val="DDTabellentext"/>
              <w:spacing w:after="60"/>
            </w:pPr>
            <w:r>
              <w:t xml:space="preserve">▸ </w:t>
            </w:r>
            <w:r>
              <w:rPr>
                <w:rFonts w:ascii="IBM Plex Mono" w:hAnsi="IBM Plex Mono" w:eastAsia="IBM Plex Mono" w:cs="IBM Plex Mono"/>
                <w:color w:val="B3261E"/>
              </w:rPr>
              <w:t>↑</w:t>
            </w:r>
            <w:r>
              <w:t>PateNr verweist auf Mitglied.MitgliedNr derselben Relation (rekursive Beziehung), eigener Name, NULL ohne Pate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Paar wäre nur eindeutig, wenn jedes Mitglied jedes Kostüm höchstens einmal ausleiht (1)</w:t>
            </w:r>
          </w:p>
          <w:p>
            <w:pPr>
              <w:pStyle w:val="DDTabellentext"/>
              <w:spacing w:after="60"/>
            </w:pPr>
            <w:r>
              <w:t>▸ Gegenbeispiel aus Material 2: Pauline Tebbe (6) leiht Kostüm 15 zweimal aus → ungeeignet (1)</w:t>
            </w:r>
          </w:p>
          <w:p>
            <w:pPr>
              <w:pStyle w:val="DDTabellentext"/>
              <w:spacing w:after="60"/>
            </w:pPr>
            <w:r>
              <w:t>▸ Alternative begründet, z. B. (KostuemNr, MitgliedNr, Von) oder künstlicher Schlüssel AusleihNr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Stück und Premiere je Rolle, Bezeichnung je Kostüm mehrfach (1)</w:t>
            </w:r>
          </w:p>
          <w:p>
            <w:pPr>
              <w:pStyle w:val="DDTabellentext"/>
              <w:spacing w:after="60"/>
            </w:pPr>
            <w:r>
              <w:t>▸ Änderungsanomalie: Premiere von „Der Hof des Mondkönigs“ in der Zeile Ritterrüstung 2027-03-12 statt 2027-03-19 (1)</w:t>
            </w:r>
          </w:p>
          <w:p>
            <w:pPr>
              <w:pStyle w:val="DDTabellentext"/>
              <w:spacing w:after="60"/>
            </w:pPr>
            <w:r>
              <w:t>▸ Löschanomalie: Zeile Königsmantel/Mondkönig ist die einzige zu Kostüm 11 und Rolle 11 (1)</w:t>
            </w:r>
          </w:p>
          <w:p>
            <w:pPr>
              <w:pStyle w:val="DDTabellentext"/>
              <w:spacing w:after="60"/>
            </w:pPr>
            <w:r>
              <w:t>▸ Einfügeanomalie: Kostüm ohne geplante Rolle bzw. neues Stück ohne Kostüm nicht eintragbar (1)</w:t>
            </w:r>
          </w:p>
          <w:p>
            <w:pPr>
              <w:pStyle w:val="DDTabellentext"/>
              <w:spacing w:after="60"/>
            </w:pPr>
            <w:r>
              <w:t>▸ Zusammenhang zwischen Redundanz und Anomalie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Kostuem – Ausleihe – Mitglied (1)</w:t>
            </w:r>
          </w:p>
          <w:p>
            <w:pPr>
              <w:pStyle w:val="DDTabellentext"/>
              <w:spacing w:after="60"/>
            </w:pPr>
            <w:r>
              <w:t>▸ Bedingung Ausleihe.Bis IS NULL (1)</w:t>
            </w:r>
          </w:p>
          <w:p>
            <w:pPr>
              <w:pStyle w:val="DDTabellentext"/>
              <w:spacing w:after="60"/>
            </w:pPr>
            <w:r>
              <w:t>▸ Ausgabe Bezeichnung, Vorname, Nachname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vier Tabellen im FROM (1)</w:t>
            </w:r>
          </w:p>
          <w:p>
            <w:pPr>
              <w:pStyle w:val="DDTabellentext"/>
              <w:spacing w:after="60"/>
            </w:pPr>
            <w:r>
              <w:t>▸ drei korrekte Verbundbedingungen über die Fremdschlüssel (1)</w:t>
            </w:r>
          </w:p>
          <w:p>
            <w:pPr>
              <w:pStyle w:val="DDTabellentext"/>
              <w:spacing w:after="60"/>
            </w:pPr>
            <w:r>
              <w:t>▸ Bedingung Epoche = 'Barock' (1)</w:t>
            </w:r>
          </w:p>
          <w:p>
            <w:pPr>
              <w:pStyle w:val="DDTabellentext"/>
              <w:spacing w:after="60"/>
            </w:pPr>
            <w:r>
              <w:t>▸ Ausgabe mit eindeutigen Spaltennamen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Mitglied – Ausleihe (1)</w:t>
            </w:r>
          </w:p>
          <w:p>
            <w:pPr>
              <w:pStyle w:val="DDTabellentext"/>
              <w:spacing w:after="60"/>
            </w:pPr>
            <w:r>
              <w:t>▸ COUNT(*) je Mitglied mit GROUP BY MitgliedNr, Vorname, Nachname (1)</w:t>
            </w:r>
          </w:p>
          <w:p>
            <w:pPr>
              <w:pStyle w:val="DDTabellentext"/>
              <w:spacing w:after="60"/>
            </w:pPr>
            <w:r>
              <w:t>▸ HAVING COUNT(*) &gt; 3 (1)</w:t>
            </w:r>
          </w:p>
          <w:p>
            <w:pPr>
              <w:pStyle w:val="DDTabellentext"/>
              <w:spacing w:after="60"/>
            </w:pPr>
            <w:r>
              <w:t>▸ ORDER BY COUNT(*) DESC (1)</w:t>
            </w:r>
          </w:p>
          <w:p>
            <w:pPr>
              <w:pStyle w:val="DDTabellentext"/>
              <w:spacing w:after="60"/>
            </w:pPr>
            <w:r>
              <w:t>▸ LIMIT 3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alle Mitglieder, deren Patin bzw. Pate eine 12. Klasse besucht, mit Name und Klasse sowie Name der Patin bzw. des Paten (2)</w:t>
            </w:r>
          </w:p>
          <w:p>
            <w:pPr>
              <w:pStyle w:val="DDTabellentext"/>
              <w:spacing w:after="60"/>
            </w:pPr>
            <w:r>
              <w:t>▸ Erläuterung: zwei Rollen derselben Relation (m = betreutes Mitglied, p = Pate), LIKE '12%' (1)</w:t>
            </w:r>
          </w:p>
          <w:p>
            <w:pPr>
              <w:pStyle w:val="DDTabellentext"/>
              <w:spacing w:after="60"/>
            </w:pPr>
            <w:r>
              <w:t>▸ Mitglieder ohne Pate oder mit Pate aus Jahrgang 11 fehlen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Kostüme abfragen (1)</w:t>
            </w:r>
          </w:p>
          <w:p>
            <w:pPr>
              <w:pStyle w:val="DDTabellentext"/>
              <w:spacing w:after="60"/>
            </w:pPr>
            <w:r>
              <w:t>▸ Schritt 2: alle KostuemNr aus Ausleihe (DISTINCT) (1)</w:t>
            </w:r>
          </w:p>
          <w:p>
            <w:pPr>
              <w:pStyle w:val="DDTabellentext"/>
              <w:spacing w:after="60"/>
            </w:pPr>
            <w:r>
              <w:t>▸ Vergleich der Listen und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Aufführungsplanung und Schulhomepage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sechs Entitätstypen mit Attributen (2) und Schlüsselattributen (1)</w:t>
            </w:r>
          </w:p>
          <w:p>
            <w:pPr>
              <w:pStyle w:val="DDTabellentext"/>
              <w:spacing w:after="60"/>
            </w:pPr>
            <w:r>
              <w:t>▸ 1:n-Beziehungen Stück–Rolle, Stück–Requisit, Stück–Aufführung, Spielort–Aufführung (2)</w:t>
            </w:r>
          </w:p>
          <w:p>
            <w:pPr>
              <w:pStyle w:val="DDTabellentext"/>
              <w:spacing w:after="60"/>
            </w:pPr>
            <w:r>
              <w:t>▸ ternärer Beziehungstyp spielt zwischen Mitglied, Rolle und Aufführung (m:n:p) (2)</w:t>
            </w:r>
          </w:p>
          <w:p>
            <w:pPr>
              <w:pStyle w:val="DDTabellentext"/>
              <w:spacing w:after="60"/>
            </w:pPr>
            <w:r>
              <w:t>▸ rekursiver Beziehungstyp vertritt an Mitglied, 1:n, mit Rollen (1)</w:t>
            </w:r>
          </w:p>
          <w:p>
            <w:pPr>
              <w:pStyle w:val="DDTabellentext"/>
              <w:spacing w:after="60"/>
            </w:pPr>
            <w:r>
              <w:t>▸ hilftMit Mitglied n – Aufführung m mit Beziehungsattribut Aufgabe (1)</w:t>
            </w:r>
          </w:p>
          <w:p>
            <w:pPr>
              <w:pStyle w:val="DDTabellentext"/>
              <w:spacing w:after="60"/>
            </w:pPr>
            <w:r>
              <w:t>▸ Benennung nach EH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5</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10</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findetStattIn: Aufführung an genau einem Spielort, Spielort für viele Aufführungen → 1:n (1)</w:t>
            </w:r>
          </w:p>
          <w:p>
            <w:pPr>
              <w:pStyle w:val="DDTabellentext"/>
              <w:spacing w:after="60"/>
            </w:pPr>
            <w:r>
              <w:t>▸ vertritt: jedes Mitglied hat höchstens eine Zweitbesetzung, eine Zweitbesetzung kann für mehrere einspringen → 1:n (1)</w:t>
            </w:r>
          </w:p>
          <w:p>
            <w:pPr>
              <w:pStyle w:val="DDTabellentext"/>
              <w:spacing w:after="60"/>
            </w:pPr>
            <w:r>
              <w:t>▸ jeweils beide Leserichtungen am Text belegt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Attribut erlaubt nur eine Rolle je Mitglied, keine Zuordnung zu Stück und Aufführung, Redundanz der Rollennamen (1)</w:t>
            </w:r>
          </w:p>
          <w:p>
            <w:pPr>
              <w:pStyle w:val="DDTabellentext"/>
              <w:spacing w:after="60"/>
            </w:pPr>
            <w:r>
              <w:t>▸ Urteil: Entitätstyp nötig, weil Rollen eigene Eigenschaften und Beziehungen haben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Relationen der sechs Entitätstypen mit Primärschlüsseln (1)</w:t>
            </w:r>
          </w:p>
          <w:p>
            <w:pPr>
              <w:pStyle w:val="DDTabellentext"/>
              <w:spacing w:after="60"/>
            </w:pPr>
            <w:r>
              <w:t>▸ Fremdschlüssel der 1:n-Beziehungen auf der n-Seite (</w:t>
            </w:r>
            <w:r>
              <w:rPr>
                <w:rFonts w:ascii="IBM Plex Mono" w:hAnsi="IBM Plex Mono" w:eastAsia="IBM Plex Mono" w:cs="IBM Plex Mono"/>
                <w:color w:val="B3261E"/>
              </w:rPr>
              <w:t>↑</w:t>
            </w:r>
            <w:r>
              <w:t xml:space="preserve">StueckNr in Rolle, Requisit, Auffuehrung; </w:t>
            </w:r>
            <w:r>
              <w:rPr>
                <w:rFonts w:ascii="IBM Plex Mono" w:hAnsi="IBM Plex Mono" w:eastAsia="IBM Plex Mono" w:cs="IBM Plex Mono"/>
                <w:color w:val="B3261E"/>
              </w:rPr>
              <w:t>↑</w:t>
            </w:r>
            <w:r>
              <w:t>OrtNr) (1)</w:t>
            </w:r>
          </w:p>
          <w:p>
            <w:pPr>
              <w:pStyle w:val="DDTabellentext"/>
              <w:spacing w:after="60"/>
            </w:pPr>
            <w:r>
              <w:t>▸ spielt mit drei Fremdschlüsseln als Primärschlüssel (1)</w:t>
            </w:r>
          </w:p>
          <w:p>
            <w:pPr>
              <w:pStyle w:val="DDTabellentext"/>
              <w:spacing w:after="60"/>
            </w:pPr>
            <w:r>
              <w:t xml:space="preserve">▸ </w:t>
            </w:r>
            <w:r>
              <w:rPr>
                <w:rFonts w:ascii="IBM Plex Mono" w:hAnsi="IBM Plex Mono" w:eastAsia="IBM Plex Mono" w:cs="IBM Plex Mono"/>
                <w:color w:val="B3261E"/>
              </w:rPr>
              <w:t>↑</w:t>
            </w:r>
            <w:r>
              <w:t>ZweitbesetzungNr in Mitglied (1)</w:t>
            </w:r>
          </w:p>
          <w:p>
            <w:pPr>
              <w:pStyle w:val="DDTabellentext"/>
              <w:spacing w:after="60"/>
            </w:pPr>
            <w:r>
              <w:t>▸ hilftMit mit Primärschlüssel aus zwei Fremdschlüsseln und Aufgabe (1)</w:t>
            </w:r>
          </w:p>
          <w:p>
            <w:pPr>
              <w:pStyle w:val="DDTabellentext"/>
              <w:spacing w:after="60"/>
            </w:pPr>
            <w:r>
              <w:t xml:space="preserve">▸ Kurzschreibweise korrekt (unterstrichen, </w:t>
            </w:r>
            <w:r>
              <w:rPr>
                <w:rFonts w:ascii="IBM Plex Mono" w:hAnsi="IBM Plex Mono" w:eastAsia="IBM Plex Mono" w:cs="IBM Plex Mono"/>
                <w:color w:val="B3261E"/>
              </w:rPr>
              <w:t>↑</w:t>
            </w:r>
            <w:r>
              <w: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kein Paar genügt: Mitglied kann in einer Aufführung mehrere Rollen spielen, eine Rolle wird in einer Aufführung von mehreren Mitgliedern gespielt, ein Mitglied spielt eine Rolle in mehreren Aufführungen (1)</w:t>
            </w:r>
          </w:p>
          <w:p>
            <w:pPr>
              <w:pStyle w:val="DDTabellentext"/>
              <w:spacing w:after="60"/>
            </w:pPr>
            <w:r>
              <w:t>▸ daher alle drei Fremdschlüssel zusammen; minimal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Werkstatt mit Schlüsselattribut; Kostuem und Mitglied mit Schlüsseln (1)</w:t>
            </w:r>
          </w:p>
          <w:p>
            <w:pPr>
              <w:pStyle w:val="DDTabellentext"/>
              <w:spacing w:after="60"/>
            </w:pPr>
            <w:r>
              <w:t>▸ ternärer Beziehungstyp repariert zwischen Kostuem, Mitglied und Werkstatt, n:m:p (1)</w:t>
            </w:r>
          </w:p>
          <w:p>
            <w:pPr>
              <w:pStyle w:val="DDTabellentext"/>
              <w:spacing w:after="60"/>
            </w:pPr>
            <w:r>
              <w:t>▸ Datum als Beziehungsattribut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Fotos sind personenbezogene Daten; Veröffentlichung nur mit Einwilligung (bei Minderjährigen der Eltern) (1)</w:t>
            </w:r>
          </w:p>
          <w:p>
            <w:pPr>
              <w:pStyle w:val="DDTabellentext"/>
              <w:spacing w:after="60"/>
            </w:pPr>
            <w:r>
              <w:t>▸ Zweckbindung: Daten der AG-Verwaltung nicht ohne Weiteres für die Homepage (1)</w:t>
            </w:r>
          </w:p>
          <w:p>
            <w:pPr>
              <w:pStyle w:val="DDTabellentext"/>
              <w:spacing w:after="60"/>
            </w:pPr>
            <w:r>
              <w:t>▸ Datenminimierung: Klasse und vollständige Namen nicht nötig; Publikum besonders kritisch; Urteil (1)</w:t>
            </w:r>
          </w:p>
          <w:p>
            <w:pPr>
              <w:pStyle w:val="DDTabellentext"/>
              <w:spacing w:after="60"/>
            </w:pPr>
            <w:r>
              <w:t>▸ Maßnahme, z. B. nur Vornamen, Einwilligungsformular, keine Publikumsfotos, geschützter Bereich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Gesamt:</w:t>
      </w:r>
      <w:r>
        <w:t xml:space="preserve"> 60 BE · AFB I 18 BE (30 %) · II 31 BE (52 %) · III 11 BE (18 %). </w:t>
      </w:r>
      <w:r>
        <w:rPr>
          <w:b/>
        </w:rPr>
        <w:t>Kürzung auf 45 BE (modular):</w:t>
      </w:r>
      <w:r>
        <w:t xml:space="preserve"> Aufgabe A a, c, e, f, g (21 BE) und Aufgabe B a, c, d, e, g (24 BE).</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 Rechte Spalte: gekürzte Fassung mit 45 BE.</w:t>
      </w:r>
    </w:p>
    <w:tbl>
      <w:tblPr>
        <w:tblStyle w:val="Datentabelle"/>
        <w:jc w:val="left"/>
        <w:tblLayout w:type="fixed"/>
        <w:tblLook w:firstColumn="1" w:firstRow="1" w:lastColumn="0" w:lastRow="0" w:noHBand="0" w:noVBand="1" w:val="04A0"/>
        <w:tblW w:w="6633" w:type="dxa"/>
      </w:tblPr>
      <w:tblGrid>
        <w:gridCol w:w="1474"/>
        <w:gridCol w:w="850"/>
        <w:gridCol w:w="1360"/>
        <w:gridCol w:w="1474"/>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60)</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57–60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54–56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51–53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48–50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45–47</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42–44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33–35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17–19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12–16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0–11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p>
      <w:r>
        <w:rPr>
          <w:i/>
        </w:rPr>
        <w:t>Material 2 · Ausschnitte aus den Tabellen – siehe Aufgabenblatt.</w:t>
      </w:r>
    </w:p>
    <w:p>
      <w:r>
        <w:rPr>
          <w:i/>
        </w:rPr>
        <w:t>Material 3 · Tabelle KostuemRolle – siehe Aufgabenblatt.</w:t>
      </w:r>
    </w:p>
    <w:p>
      <w:pPr>
        <w:keepNext/>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Ausleihe ist AusleihNr Primärschlüssel;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und </w:t>
            </w:r>
            <w:r>
              <w:rPr>
                <w:rFonts w:ascii="IBM Plex Mono" w:hAnsi="IBM Plex Mono" w:eastAsia="IBM Plex Mono" w:cs="IBM Plex Mono"/>
                <w:color w:val="B3261E"/>
              </w:rPr>
              <w:t>↑</w:t>
            </w:r>
            <w:r>
              <w:t xml:space="preserve">RollenNr sind Fremdschlüssel und halten fest, welches Kostüm von wem für welche Rolle ausgeliehen wurde. In Mitglied ist MitgliedNr Primärschlüssel; </w:t>
            </w:r>
            <w:r>
              <w:rPr>
                <w:rFonts w:ascii="IBM Plex Mono" w:hAnsi="IBM Plex Mono" w:eastAsia="IBM Plex Mono" w:cs="IBM Plex Mono"/>
                <w:color w:val="B3261E"/>
              </w:rPr>
              <w:t>↑</w:t>
            </w:r>
            <w:r>
              <w:t>PateNr ist ein Fremdschlüssel auf Mitglied.MitgliedNr – also auf ein anderes Mitglied derselben Relation, die Patin bzw. den Paten (rekursive Beziehung *istPateVon*). Der Name weicht ab, weil MitgliedNr schon vergeben ist; NULL bedeutet „ohne Pate“ (z. B. Greta Schwarting).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PateNr als Verweis auf eine Relation Pate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w:t>
            </w:r>
          </w:p>
        </w:tc>
      </w:tr>
    </w:tbl>
    <w:p>
      <w:pPr>
        <w:spacing w:after="0" w:line="160" w:lineRule="exact"/>
      </w:pPr>
    </w:p>
    <w:p>
      <w:pPr>
        <w:keepNext/>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Das Paar ist </w:t>
            </w:r>
            <w:r>
              <w:rPr>
                <w:b/>
              </w:rPr>
              <w:t>ungeeignet</w:t>
            </w:r>
            <w:r>
              <w:t>: Wiederholte Ausleihen sind ausdrücklich vorgesehen und kommen in den Daten vor – Mitglied 6 hat Kostüm 15 zweimal ausgeliehen (Ausleihe 2 und 9). Beide Ausleihen hätten denselben Schlüsselwert. Eindeutig wäre z. B. (KostuemNr, MitgliedNr, Von), weil dasselbe Mitglied dasselbe Kostüm nicht zweimal am selben Tag ausleiht; einfacher bleibt der künstliche Schlüssel AusleihNr.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„kommt im Ausschnitt nicht doppelt vor“ bzw. Zeilen 2/9 übersehen.</w:t>
            </w:r>
          </w:p>
          <w:p>
            <w:pPr>
              <w:pStyle w:val="DDTabellentext"/>
            </w:pPr>
            <w:r>
              <w:rPr>
                <w:rFonts w:ascii="IBM Plex Mono" w:hAnsi="IBM Plex Mono" w:eastAsia="IBM Plex Mono" w:cs="IBM Plex Mono"/>
                <w:b/>
                <w:color w:val="B3261E"/>
                <w:sz w:val="15"/>
                <w:shd w:val="clear" w:color="auto" w:fill="F8E3DF"/>
              </w:rPr>
              <w:t>◆ P8</w:t>
            </w:r>
            <w:r>
              <w:t xml:space="preserve">  (KostuemNr, Von) vorgeschlagen, ohne Minimalität und Eindeutigkeit zu begründen.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Titel und Premiere des Stücks (neunmal „Der Hof des Mondkönigs“) sowie die Bezeichnung eines Kostüms, das mehreren Rollen zugeordnet ist (Justaucorps rot zweimal).</w:t>
            </w:r>
          </w:p>
          <w:p>
            <w:pPr>
              <w:pStyle w:val="DDTabellentext"/>
              <w:spacing w:after="60"/>
            </w:pPr>
            <w:r>
              <w:rPr>
                <w:b/>
              </w:rPr>
              <w:t>Änderungsanomalie:</w:t>
            </w:r>
            <w:r>
              <w:t xml:space="preserve"> Eine Verschiebung der Premiere muss in allen Zeilen nachgetragen werden – in der Zeile Ritterrüstung steht bereits 2027-03-12 statt 2027-03-19.</w:t>
            </w:r>
          </w:p>
          <w:p>
            <w:pPr>
              <w:pStyle w:val="DDTabellentext"/>
              <w:spacing w:after="60"/>
            </w:pPr>
            <w:r>
              <w:rPr>
                <w:b/>
              </w:rPr>
              <w:t>Löschanomalie:</w:t>
            </w:r>
            <w:r>
              <w:t xml:space="preserve"> Wird die Zuordnung Königsmantel – Mondkönig gestrichen, sind Bezeichnung des Kostüms 11 und Name der Rolle 11 nicht mehr gespeichert.</w:t>
            </w:r>
          </w:p>
          <w:p>
            <w:pPr>
              <w:pStyle w:val="DDTabellentext"/>
              <w:spacing w:after="60"/>
            </w:pPr>
            <w:r>
              <w:rPr>
                <w:b/>
              </w:rPr>
              <w:t>Einfügeanomalie:</w:t>
            </w:r>
            <w:r>
              <w:t xml:space="preserve"> Ein neues Kostüm oder ein neues Stück lässt sich erst eintragen, wenn es eine Zuordnung von Kostüm und Rolle gibt.</w:t>
            </w:r>
          </w:p>
          <w:p>
            <w:pPr>
              <w:pStyle w:val="DDTabellentext"/>
              <w:spacing w:after="60"/>
            </w:pPr>
            <w:r>
              <w:t>Ursache: Angaben, die nur vom Stück bzw. nur vom Kostüm abhängen, stehen in jeder Zuordnungszeile.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ohne konkrete Zeilen; Redundanz mit „doppelte Zeile“ verwechselt.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Kostuem.Bezeichnung, Mitglied.Vorname, Mitglied.Nachname</w:t>
              <w:br/>
              <w:t>FROM Kostuem, Ausleihe, Mitglied</w:t>
              <w:br/>
              <w:t>WHERE Kostuem.KostuemNr = Ausleihe.KostuemNr</w:t>
              <w:br/>
              <w:t xml:space="preserve">  AND Ausleihe.MitgliedNr = Mitglied.MitgliedNr</w:t>
              <w:br/>
              <w:t xml:space="preserve">  AND Ausleihe.Bis IS NULL</w:t>
            </w:r>
          </w:p>
          <w:tbl>
            <w:tblPr>
              <w:tblStyle w:val="Ergebnistabelle"/>
              <w:jc w:val="left"/>
              <w:tblLayout w:type="fixed"/>
              <w:tblLook w:firstColumn="1" w:firstRow="1" w:lastColumn="0" w:lastRow="0" w:noHBand="0" w:noVBand="1" w:val="04A0"/>
              <w:tblW w:w="5556" w:type="dxa"/>
            </w:tblPr>
            <w:tblGrid>
              <w:gridCol w:w="2835"/>
              <w:gridCol w:w="1134"/>
              <w:gridCol w:w="1587"/>
            </w:tblGrid>
            <w:tr>
              <w:trPr>
                <w:tblHeader/>
              </w:trPr>
              <w:tc>
                <w:tcPr>
                  <w:tcW w:type="dxa" w:w="283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Klattenhoff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Hafenmeisterin-Uniform</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Rossi</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Matrosenanzug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Wachtendorf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Tunika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Zoe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Mammen</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Toga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Bente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Heinemeyer</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Bis = NULL – liefert kein Ergebnis.</w:t>
            </w:r>
          </w:p>
          <w:p>
            <w:pPr>
              <w:pStyle w:val="DDTabellentext"/>
            </w:pPr>
            <w:r>
              <w:rPr>
                <w:rFonts w:ascii="IBM Plex Mono" w:hAnsi="IBM Plex Mono" w:eastAsia="IBM Plex Mono" w:cs="IBM Plex Mono"/>
                <w:b/>
                <w:color w:val="B3261E"/>
                <w:sz w:val="15"/>
                <w:shd w:val="clear" w:color="auto" w:fill="F8E3DF"/>
              </w:rPr>
              <w:t>◆ P2</w:t>
            </w:r>
            <w:r>
              <w:t xml:space="preserve">  Verbundbedingung zu Mitglied vergessen.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Stueck.Titel, Rolle.Name, Kostuem.Bezeichnung</w:t>
              <w:br/>
              <w:t>FROM Stueck, Rolle, Ausleihe, Kostuem</w:t>
              <w:br/>
              <w:t>WHERE Stueck.StueckNr = Rolle.StueckNr</w:t>
              <w:br/>
              <w:t xml:space="preserve">  AND Rolle.RollenNr = Ausleihe.RollenNr</w:t>
              <w:br/>
              <w:t xml:space="preserve">  AND Ausleihe.KostuemNr = Kostuem.KostuemNr</w:t>
              <w:br/>
              <w:t xml:space="preserve">  AND Kostuem.Epoche = 'Barock'</w:t>
            </w:r>
          </w:p>
          <w:tbl>
            <w:tblPr>
              <w:tblStyle w:val="Ergebnistabelle"/>
              <w:jc w:val="left"/>
              <w:tblLayout w:type="fixed"/>
              <w:tblLook w:firstColumn="1" w:firstRow="1" w:lastColumn="0" w:lastRow="0" w:noHBand="0" w:noVBand="1" w:val="04A0"/>
              <w:tblW w:w="8051" w:type="dxa"/>
            </w:tblPr>
            <w:tblGrid>
              <w:gridCol w:w="2948"/>
              <w:gridCol w:w="2721"/>
              <w:gridCol w:w="2381"/>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Titel</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Dienerlivree</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Zofe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Zofenkleid</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Hofmusikus</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Musikantenrock</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blau</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grün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Gesandtenmantel</w:t>
                  </w:r>
                </w:p>
              </w:tc>
            </w:tr>
          </w:tbl>
          <w:p>
            <w:pPr>
              <w:pStyle w:val="DDAbstand"/>
            </w:pPr>
          </w:p>
          <w:p>
            <w:pPr>
              <w:pStyle w:val="DDTabellentext"/>
              <w:spacing w:after="60"/>
            </w:pPr>
            <w:r>
              <w:t>Die Rolle Marquis kommt nicht vor, weil für sie nie ein Kostüm ausgeliehen wurde.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Verbund Rolle – Ausleihe vergessen: jede Ausleihe mit allen Rollen kombiniert.</w:t>
            </w:r>
          </w:p>
          <w:p>
            <w:pPr>
              <w:pStyle w:val="DDTabellentext"/>
            </w:pPr>
            <w:r>
              <w:rPr>
                <w:rFonts w:ascii="IBM Plex Mono" w:hAnsi="IBM Plex Mono" w:eastAsia="IBM Plex Mono" w:cs="IBM Plex Mono"/>
                <w:b/>
                <w:color w:val="B3261E"/>
                <w:sz w:val="15"/>
                <w:shd w:val="clear" w:color="auto" w:fill="F8E3DF"/>
              </w:rPr>
              <w:t>◆ P7</w:t>
            </w:r>
            <w:r>
              <w:t xml:space="preserve">  StueckNr bzw. RollenNr ohne Tabellenpräfix (mehrdeutig).</w:t>
            </w:r>
          </w:p>
          <w:p>
            <w:pPr>
              <w:pStyle w:val="DDTabellentext"/>
            </w:pPr>
            <w:r>
              <w:rPr>
                <w:rFonts w:ascii="IBM Plex Mono" w:hAnsi="IBM Plex Mono" w:eastAsia="IBM Plex Mono" w:cs="IBM Plex Mono"/>
                <w:b/>
                <w:color w:val="B3261E"/>
                <w:sz w:val="15"/>
                <w:shd w:val="clear" w:color="auto" w:fill="F8E3DF"/>
              </w:rPr>
              <w:t>◆ P2</w:t>
            </w:r>
            <w:r>
              <w:t xml:space="preserve">  Stück direkt mit Ausleihe verbunden (Ausleihe hat keine StueckNr).</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Mitglied.MitgliedNr, Mitglied.Vorname, Mitglied.Nachname, COUNT(*) AS Ausleihen</w:t>
              <w:br/>
              <w:t>FROM Mitglied, Ausleihe</w:t>
              <w:br/>
              <w:t>WHERE Mitglied.MitgliedNr = Ausleihe.MitgliedNr</w:t>
              <w:br/>
              <w:t>GROUP BY Mitglied.MitgliedNr, Mitglied.Vorname, Mitglied.Nachname</w:t>
              <w:br/>
              <w:t>HAVING COUNT(*) &gt; 3</w:t>
              <w:br/>
              <w:t>ORDER BY COUNT(*) DESC</w:t>
              <w:br/>
              <w:t>LIMIT 3</w:t>
            </w:r>
          </w:p>
          <w:tbl>
            <w:tblPr>
              <w:tblStyle w:val="Ergebnistabelle"/>
              <w:jc w:val="left"/>
              <w:tblLayout w:type="fixed"/>
              <w:tblLook w:firstColumn="1" w:firstRow="1" w:lastColumn="0" w:lastRow="0" w:noHBand="0" w:noVBand="1" w:val="04A0"/>
              <w:tblW w:w="5443" w:type="dxa"/>
            </w:tblPr>
            <w:tblGrid>
              <w:gridCol w:w="1474"/>
              <w:gridCol w:w="1134"/>
              <w:gridCol w:w="1474"/>
              <w:gridCol w:w="136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Ausleihen</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bl>
          <w:p>
            <w:pPr>
              <w:pStyle w:val="DDAbstand"/>
            </w:pPr>
          </w:p>
          <w:p>
            <w:pPr>
              <w:pStyle w:val="DDTabellentext"/>
              <w:spacing w:after="60"/>
            </w:pPr>
            <w:r>
              <w:t>Achtung: Zwei Mitglieder heißen Lasse Kück (11a und 7b, je 3 Ausleihen). Wer nur nach Vor- und Nachname gruppiert, erhält „Lasse Kück“ mit 6 Ausleihen auf Platz 1.</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COUNT(*) &gt; 3 in WHERE.</w:t>
            </w:r>
          </w:p>
          <w:p>
            <w:pPr>
              <w:pStyle w:val="DDTabellentext"/>
            </w:pPr>
            <w:r>
              <w:rPr>
                <w:rFonts w:ascii="IBM Plex Mono" w:hAnsi="IBM Plex Mono" w:eastAsia="IBM Plex Mono" w:cs="IBM Plex Mono"/>
                <w:b/>
                <w:color w:val="B3261E"/>
                <w:sz w:val="15"/>
                <w:shd w:val="clear" w:color="auto" w:fill="F8E3DF"/>
              </w:rPr>
              <w:t>◆ P3</w:t>
            </w:r>
            <w:r>
              <w:t xml:space="preserve">  nur nach Namen gruppiert (Lasse Kück verschmilzt).</w:t>
            </w:r>
          </w:p>
          <w:p>
            <w:pPr>
              <w:pStyle w:val="DDTabellentext"/>
            </w:pPr>
            <w:r>
              <w:rPr>
                <w:rFonts w:ascii="IBM Plex Mono" w:hAnsi="IBM Plex Mono" w:eastAsia="IBM Plex Mono" w:cs="IBM Plex Mono"/>
                <w:b/>
                <w:color w:val="B3261E"/>
                <w:sz w:val="15"/>
                <w:shd w:val="clear" w:color="auto" w:fill="F8E3DF"/>
              </w:rPr>
              <w:t>◆ P4</w:t>
            </w:r>
            <w:r>
              <w:t xml:space="preserve">  SUM statt COUNT.</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verbindet Mitglied mit sich selbst: m steht für das betreute Mitglied, p für seine Patin bzw. seinen Paten. Ausgegeben werden Name und Klasse aller Mitglieder, deren Patin bzw. Pate eine </w:t>
            </w:r>
            <w:r>
              <w:rPr>
                <w:b/>
              </w:rPr>
              <w:t>12. Klasse</w:t>
            </w:r>
            <w:r>
              <w:t xml:space="preserve"> besucht (LIKE '12%' – 12a, 12b, 12c), zusammen mit dem Namen der Patin bzw. des Paten. Mitglieder ohne Pate oder mit einem Paten aus Jahrgang 11 erscheinen nicht.</w:t>
            </w:r>
          </w:p>
          <w:tbl>
            <w:tblPr>
              <w:tblStyle w:val="Ergebnistabelle"/>
              <w:jc w:val="left"/>
              <w:tblLayout w:type="fixed"/>
              <w:tblLook w:firstColumn="1" w:firstRow="1" w:lastColumn="0" w:lastRow="0" w:noHBand="0" w:noVBand="1" w:val="04A0"/>
              <w:tblW w:w="6690" w:type="dxa"/>
            </w:tblPr>
            <w:tblGrid>
              <w:gridCol w:w="1134"/>
              <w:gridCol w:w="1247"/>
              <w:gridCol w:w="1020"/>
              <w:gridCol w:w="1587"/>
              <w:gridCol w:w="170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Klasse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PateVorname</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Finn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Bohlken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Leni</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Ihnken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Rieke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Dählmann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Mira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Onken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Fenja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Lampe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Selin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Nowak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Lasse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Steenken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Nele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Backhaus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„alle Mitglieder aus Jahrgang 12“ – die Bedingung betrifft p, nicht m.</w:t>
            </w:r>
          </w:p>
          <w:p>
            <w:pPr>
              <w:pStyle w:val="DDTabellentext"/>
            </w:pPr>
            <w:r>
              <w:rPr>
                <w:rFonts w:ascii="IBM Plex Mono" w:hAnsi="IBM Plex Mono" w:eastAsia="IBM Plex Mono" w:cs="IBM Plex Mono"/>
                <w:b/>
                <w:color w:val="B3261E"/>
                <w:sz w:val="15"/>
                <w:shd w:val="clear" w:color="auto" w:fill="F8E3DF"/>
              </w:rPr>
              <w:t>◆ P10</w:t>
            </w:r>
            <w:r>
              <w:t xml:space="preserve">  Klauseln nur übersetzt.</w:t>
            </w:r>
          </w:p>
        </w:tc>
      </w:tr>
    </w:tbl>
    <w:p>
      <w:pPr>
        <w:spacing w:after="0" w:line="160" w:lineRule="exact"/>
      </w:pPr>
    </w:p>
    <w:p>
      <w:pPr>
        <w:keepNext/>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Ein Verbund von Kostuem und Ausleihe enthält nur Kostüme, die mindestens einmal ausgeliehen wurden. Deshalb in zwei Schritten:</w:t>
            </w:r>
          </w:p>
          <w:p>
            <w:pPr>
              <w:pStyle w:val="SQL-Code"/>
            </w:pPr>
            <w:r>
              <w:t>SELECT KostuemNr, Bezeichnung</w:t>
              <w:br/>
              <w:t>FROM Kostuem</w:t>
              <w:br/>
              <w:t>ORDER BY KostuemNr</w:t>
            </w:r>
          </w:p>
          <w:p>
            <w:pPr>
              <w:pStyle w:val="SQL-Code"/>
            </w:pPr>
            <w:r>
              <w:t>SELECT DISTINCT KostuemNr</w:t>
              <w:br/>
              <w:t>FROM Ausleihe</w:t>
              <w:br/>
              <w:t>ORDER BY KostuemNr</w:t>
            </w:r>
          </w:p>
          <w:p>
            <w:pPr>
              <w:pStyle w:val="DDTabellentext"/>
              <w:spacing w:after="60"/>
            </w:pPr>
            <w:r>
              <w:t>Kostüme der ersten Liste, die in der zweiten fehlen, wurden nie ausgeliehen (hier 5, 18, 37, 38, 40).</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Kostuem.KostuemNr != Ausleihe.KostuemNr – liefert fast alle Kombinationen.</w:t>
            </w:r>
          </w:p>
        </w:tc>
      </w:tr>
    </w:tbl>
    <w:p>
      <w:pPr>
        <w:spacing w:after="0" w:line="160" w:lineRule="exact"/>
      </w:pPr>
    </w:p>
    <w:p>
      <w:pPr>
        <w:pStyle w:val="Heading1"/>
        <w:pageBreakBefore/>
      </w:pPr>
      <w:r>
        <w:t>Aufgabe B · Aufführungsplanung und Schulhomepage (30 BE)</w:t>
      </w:r>
    </w:p>
    <w:p>
      <w:r>
        <w:t>Die Theater-AG (Aufgabe A) möchte auch ihre Aufführungen mit der Datenbank planen.</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„Aufführungsplanung“</w:t>
            </w:r>
          </w:p>
          <w:p>
            <w:pPr>
              <w:pStyle w:val="DDTabellentext"/>
              <w:spacing w:after="60"/>
            </w:pPr>
            <w:r>
              <w:t>Die Theater-AG plant ihre Aufführungen. Jedes Stück (Nummer, Titel) wird mehrmals aufgeführt; eine Aufführung hat eine Nummer, ein Datum und eine Uhrzeit und findet an genau einem Spielort statt (Nummer, Bezeichnung, Anzahl der Plätze). Zu jedem Stück gehören Rollen (Nummer, Name) und Requisiten (Nummer, Bezeichnung); jede Rolle und jedes Requisit gehört zu genau einem Stück. Gespeichert wird, welches Mitglied (Nummer, Vorname, Nachname, Klasse) in welcher Aufführung welche Rolle spielt. Ein Mitglied kann in einer Aufführung mehrere kleine Rollen übernehmen, und manche Rollen (z. B. „Chor“) werden in einer Aufführung von mehreren Mitgliedern gespielt. Für jedes Mitglied kann es eine Zweitbesetzung geben, die bei Krankheit einspringt; ein Mitglied kann Zweitbesetzung für mehrere andere sein. Außerdem helfen Mitglieder bei Aufführungen hinter der Bühne mit; dabei wird ihre Aufgabe gespeichert (z. B. „Licht“).</w:t>
            </w:r>
          </w:p>
        </w:tc>
      </w:tr>
    </w:tbl>
    <w:p>
      <w:pPr>
        <w:spacing w:after="0" w:line="160" w:lineRule="exact"/>
      </w:pPr>
    </w:p>
    <w:p>
      <w:r>
        <w:rPr>
          <w:i/>
        </w:rPr>
        <w:t>Material 5 · Ausschnitt eines Relationenschemas – siehe Aufgabenblatt.</w:t>
      </w:r>
    </w:p>
    <w:p>
      <w:r>
        <w:rPr>
          <w:i/>
        </w:rPr>
        <w:t>Material 6 · Veröffentlichung auf der Schulhomepage – siehe Aufgabenblatt.</w:t>
      </w:r>
    </w:p>
    <w:p>
      <w:pPr>
        <w:keepNext/>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3458075"/>
                  <wp:docPr id="1" name="Picture 1"/>
                  <wp:cNvGraphicFramePr>
                    <a:graphicFrameLocks noChangeAspect="1"/>
                  </wp:cNvGraphicFramePr>
                  <a:graphic>
                    <a:graphicData uri="http://schemas.openxmlformats.org/drawingml/2006/picture">
                      <pic:pic>
                        <pic:nvPicPr>
                          <pic:cNvPr id="0" name="er_140496738784016.png"/>
                          <pic:cNvPicPr/>
                        </pic:nvPicPr>
                        <pic:blipFill>
                          <a:blip r:embed="rId11"/>
                          <a:stretch>
                            <a:fillRect/>
                          </a:stretch>
                        </pic:blipFill>
                        <pic:spPr>
                          <a:xfrm>
                            <a:off x="0" y="0"/>
                            <a:ext cx="5544130" cy="3458075"/>
                          </a:xfrm>
                          <a:prstGeom prst="rect"/>
                        </pic:spPr>
                      </pic:pic>
                    </a:graphicData>
                  </a:graphic>
                </wp:inline>
              </w:drawing>
            </w:r>
          </w:p>
          <w:p>
            <w:pPr>
              <w:pStyle w:val="DDTabellentext"/>
              <w:spacing w:after="60"/>
            </w:pPr>
            <w:r>
              <w:t>Kernpunkte und Teilpunkte: siehe Bewertungsbogen.</w:t>
            </w:r>
          </w:p>
          <w:p>
            <w:pPr>
              <w:pStyle w:val="DDTabellentext"/>
            </w:pPr>
            <w:r>
              <w:rPr>
                <w:b/>
              </w:rPr>
              <w:t>Auch richtig:</w:t>
            </w:r>
          </w:p>
          <w:p>
            <w:pPr>
              <w:pStyle w:val="DDTabellentext"/>
              <w:spacing w:after="60"/>
            </w:pPr>
            <w:r>
              <w:t>spielt mit anderen Kardinalitäten, wenn sie aus einer begründeten Lesart des Textes folgen (z. B. Mitglied 1, falls Rollen nie geteilt würden) – mit Begründung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spielt in zwei binäre Beziehungen zerlegt (Mitglied–Rolle, Rolle–Aufführung) – Information geht verloren.</w:t>
            </w:r>
          </w:p>
          <w:p>
            <w:pPr>
              <w:pStyle w:val="DDTabellentext"/>
            </w:pPr>
            <w:r>
              <w:rPr>
                <w:rFonts w:ascii="IBM Plex Mono" w:hAnsi="IBM Plex Mono" w:eastAsia="IBM Plex Mono" w:cs="IBM Plex Mono"/>
                <w:b/>
                <w:color w:val="B3261E"/>
                <w:sz w:val="15"/>
                <w:shd w:val="clear" w:color="auto" w:fill="F8E3DF"/>
              </w:rPr>
              <w:t>◆ P9</w:t>
            </w:r>
            <w:r>
              <w:t xml:space="preserve">  Aufgabe als Attribut von Mitglied; vertritt ohne Rollen bzw. n:m.</w:t>
            </w:r>
          </w:p>
          <w:p>
            <w:pPr>
              <w:pStyle w:val="DDTabellentext"/>
            </w:pPr>
            <w:r>
              <w:rPr>
                <w:rFonts w:ascii="IBM Plex Mono" w:hAnsi="IBM Plex Mono" w:eastAsia="IBM Plex Mono" w:cs="IBM Plex Mono"/>
                <w:b/>
                <w:color w:val="B3261E"/>
                <w:sz w:val="15"/>
                <w:shd w:val="clear" w:color="auto" w:fill="F8E3DF"/>
              </w:rPr>
              <w:t>◆ P9</w:t>
            </w:r>
            <w:r>
              <w:t xml:space="preserve">  Spielort als Attribut von Aufführung trotz eigener Attribute.</w:t>
            </w:r>
          </w:p>
        </w:tc>
      </w:tr>
    </w:tbl>
    <w:p>
      <w:pPr>
        <w:spacing w:after="0" w:line="160" w:lineRule="exact"/>
      </w:pPr>
    </w:p>
    <w:p>
      <w:pPr>
        <w:keepNext/>
        <w:tabs>
          <w:tab w:pos="454" w:val="left"/>
        </w:tabs>
        <w:spacing w:before="160"/>
        <w:ind w:left="454" w:hanging="454"/>
      </w:pPr>
      <w:r>
        <w:rPr>
          <w:b/>
        </w:rPr>
        <w:t>b)</w:t>
        <w:tab/>
      </w:r>
      <w:r>
        <w:rPr>
          <w:b/>
        </w:rPr>
        <w:t>Begründen</w:t>
      </w:r>
      <w:r>
        <w:t xml:space="preserve"> Sie die Kardinalitäten der Beziehungstypen findetStattIn (Spielort – Aufführung) und vertritt im Sachzusammenhang.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findetStattIn (1:n):</w:t>
            </w:r>
            <w:r>
              <w:t xml:space="preserve"> Eine Aufführung findet an genau einem Spielort statt; an einem Spielort finden viele Aufführungen statt.</w:t>
            </w:r>
          </w:p>
          <w:p>
            <w:pPr>
              <w:pStyle w:val="DDTabellentext"/>
              <w:spacing w:after="60"/>
            </w:pPr>
            <w:r>
              <w:rPr>
                <w:b/>
              </w:rPr>
              <w:t>vertritt (1:n, rekursiv):</w:t>
            </w:r>
            <w:r>
              <w:t xml:space="preserve"> Für ein Mitglied gibt es höchstens eine Zweitbesetzung (Seite Zweitbesetzung: 1), ein Mitglied kann aber Zweitbesetzung für mehrere andere sein (Seite Vertretene: 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nur eine Leserichtung.</w:t>
            </w:r>
          </w:p>
          <w:p>
            <w:pPr>
              <w:pStyle w:val="DDTabellentext"/>
            </w:pPr>
            <w:r>
              <w:rPr>
                <w:rFonts w:ascii="IBM Plex Mono" w:hAnsi="IBM Plex Mono" w:eastAsia="IBM Plex Mono" w:cs="IBM Plex Mono"/>
                <w:b/>
                <w:color w:val="B3261E"/>
                <w:sz w:val="15"/>
                <w:shd w:val="clear" w:color="auto" w:fill="F8E3DF"/>
              </w:rPr>
              <w:t>◆ P9</w:t>
            </w:r>
            <w:r>
              <w:t xml:space="preserve">  vertritt als 1:1 („jeder vertritt einen“).</w:t>
            </w:r>
          </w:p>
        </w:tc>
      </w:tr>
    </w:tbl>
    <w:p>
      <w:pPr>
        <w:spacing w:after="0" w:line="160" w:lineRule="exact"/>
      </w:pPr>
    </w:p>
    <w:p>
      <w:pPr>
        <w:keepNext/>
        <w:tabs>
          <w:tab w:pos="454" w:val="left"/>
        </w:tabs>
        <w:spacing w:before="160"/>
        <w:ind w:left="454" w:hanging="454"/>
      </w:pPr>
      <w:r>
        <w:rPr>
          <w:b/>
        </w:rPr>
        <w:t>c)</w:t>
        <w:tab/>
      </w:r>
      <w:r>
        <w:t xml:space="preserve">Ein Mitglied der AG schlägt vor, die Rolle einfach als Attribut von Mitglied zu speichern. </w:t>
      </w:r>
      <w:r>
        <w:rPr>
          <w:b/>
        </w:rPr>
        <w:t>Beurteilen</w:t>
      </w:r>
      <w:r>
        <w:t xml:space="preserve"> Sie diesen Vorschlag im Vergleich zur Modellierung von Rolle als Entitätstyp.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Als Attribut von Mitglied könnte jedes Mitglied nur </w:t>
            </w:r>
            <w:r>
              <w:rPr>
                <w:b/>
              </w:rPr>
              <w:t>eine</w:t>
            </w:r>
            <w:r>
              <w:t xml:space="preserve"> Rolle haben (bzw. mehrere nur als Liste – nicht atomar); die Zugehörigkeit der Rolle zum Stück und die Verbindung zur Aufführung gingen verloren, und Rollen ohne Besetzung ließen sich nicht speichern. Da Rollen eigene Eigenschaften (Nummer, Name) und Beziehungen (Stück, spielt) haben, ist der Entitätstyp die angemessene Modellierung.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Urteil ohne Bezug auf die Anforderungen.</w:t>
            </w:r>
          </w:p>
        </w:tc>
      </w:tr>
    </w:tbl>
    <w:p>
      <w:pPr>
        <w:spacing w:after="0" w:line="160" w:lineRule="exact"/>
      </w:pPr>
    </w:p>
    <w:p>
      <w:pPr>
        <w:keepNext/>
        <w:tabs>
          <w:tab w:pos="454" w:val="left"/>
        </w:tabs>
        <w:spacing w:before="160"/>
        <w:ind w:left="454" w:hanging="454"/>
      </w:pPr>
      <w:r>
        <w:rPr>
          <w:b/>
        </w:rPr>
        <w:t>d)</w:t>
        <w:tab/>
      </w:r>
      <w:r>
        <w:rPr>
          <w:b/>
        </w:rPr>
        <w:t>Erstellen</w:t>
      </w:r>
      <w:r>
        <w:t xml:space="preserve"> Sie zu Ihrem ER-Modell aus Teilaufgabe a) das Relationenschema in Kurzschreibweise.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w:t>
            </w:r>
          </w:p>
          <w:p>
            <w:pPr>
              <w:spacing w:after="100"/>
            </w:pPr>
            <w:r>
              <w:rPr>
                <w:rFonts w:ascii="IBM Plex Mono" w:hAnsi="IBM Plex Mono" w:eastAsia="IBM Plex Mono" w:cs="IBM Plex Mono"/>
                <w:sz w:val="18"/>
              </w:rPr>
              <w:t>Spielort(</w:t>
            </w:r>
            <w:r>
              <w:rPr>
                <w:rFonts w:ascii="IBM Plex Mono" w:hAnsi="IBM Plex Mono" w:eastAsia="IBM Plex Mono" w:cs="IBM Plex Mono"/>
                <w:sz w:val="18"/>
                <w:u w:val="single"/>
              </w:rPr>
              <w:t>OrtNr</w:t>
            </w:r>
            <w:r>
              <w:rPr>
                <w:rFonts w:ascii="IBM Plex Mono" w:hAnsi="IBM Plex Mono" w:eastAsia="IBM Plex Mono" w:cs="IBM Plex Mono"/>
                <w:sz w:val="18"/>
              </w:rPr>
              <w:t>, Bezeichnung, Plaetze)</w:t>
            </w:r>
          </w:p>
          <w:p>
            <w:pPr>
              <w:spacing w:after="100"/>
            </w:pPr>
            <w:r>
              <w:rPr>
                <w:rFonts w:ascii="IBM Plex Mono" w:hAnsi="IBM Plex Mono" w:eastAsia="IBM Plex Mono" w:cs="IBM Plex Mono"/>
                <w:sz w:val="18"/>
              </w:rPr>
              <w:t>Auffuehrung(</w:t>
            </w:r>
            <w:r>
              <w:rPr>
                <w:rFonts w:ascii="IBM Plex Mono" w:hAnsi="IBM Plex Mono" w:eastAsia="IBM Plex Mono" w:cs="IBM Plex Mono"/>
                <w:sz w:val="18"/>
                <w:u w:val="single"/>
              </w:rPr>
              <w:t>AuffNr</w:t>
            </w:r>
            <w:r>
              <w:rPr>
                <w:rFonts w:ascii="IBM Plex Mono" w:hAnsi="IBM Plex Mono" w:eastAsia="IBM Plex Mono" w:cs="IBM Plex Mono"/>
                <w:sz w:val="18"/>
              </w:rPr>
              <w:t xml:space="preserve">, Datum, Uhrzeit, </w:t>
            </w:r>
            <w:r>
              <w:rPr>
                <w:rFonts w:ascii="IBM Plex Mono" w:hAnsi="IBM Plex Mono" w:eastAsia="IBM Plex Mono" w:cs="IBM Plex Mono"/>
                <w:color w:val="B3261E"/>
                <w:sz w:val="18"/>
              </w:rPr>
              <w:t>↑</w:t>
            </w:r>
            <w:r>
              <w:rPr>
                <w:rFonts w:ascii="IBM Plex Mono" w:hAnsi="IBM Plex Mono" w:eastAsia="IBM Plex Mono" w:cs="IBM Plex Mono"/>
                <w:sz w:val="18"/>
              </w:rPr>
              <w:t xml:space="preserve">StueckNr, </w:t>
            </w:r>
            <w:r>
              <w:rPr>
                <w:rFonts w:ascii="IBM Plex Mono" w:hAnsi="IBM Plex Mono" w:eastAsia="IBM Plex Mono" w:cs="IBM Plex Mono"/>
                <w:color w:val="B3261E"/>
                <w:sz w:val="18"/>
              </w:rPr>
              <w:t>↑</w:t>
            </w:r>
            <w:r>
              <w:rPr>
                <w:rFonts w:ascii="IBM Plex Mono" w:hAnsi="IBM Plex Mono" w:eastAsia="IBM Plex Mono" w:cs="IBM Plex Mono"/>
                <w:sz w:val="18"/>
              </w:rPr>
              <w:t>OrtNr)</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Requisit(</w:t>
            </w:r>
            <w:r>
              <w:rPr>
                <w:rFonts w:ascii="IBM Plex Mono" w:hAnsi="IBM Plex Mono" w:eastAsia="IBM Plex Mono" w:cs="IBM Plex Mono"/>
                <w:sz w:val="18"/>
                <w:u w:val="single"/>
              </w:rPr>
              <w:t>RequisitNr</w:t>
            </w:r>
            <w:r>
              <w:rPr>
                <w:rFonts w:ascii="IBM Plex Mono" w:hAnsi="IBM Plex Mono" w:eastAsia="IBM Plex Mono" w:cs="IBM Plex Mono"/>
                <w:sz w:val="18"/>
              </w:rPr>
              <w:t xml:space="preserve">, Bezeichnung,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ZweitbesetzungNr)</w:t>
            </w:r>
          </w:p>
          <w:p>
            <w:pPr>
              <w:spacing w:after="100"/>
            </w:pPr>
            <w:r>
              <w:rPr>
                <w:rFonts w:ascii="IBM Plex Mono" w:hAnsi="IBM Plex Mono" w:eastAsia="IBM Plex Mono" w:cs="IBM Plex Mono"/>
                <w:sz w:val="18"/>
              </w:rPr>
              <w:t>spielt(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RollenNr,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AuffNr</w:t>
            </w:r>
            <w:r>
              <w:rPr>
                <w:rFonts w:ascii="IBM Plex Mono" w:hAnsi="IBM Plex Mono" w:eastAsia="IBM Plex Mono" w:cs="IBM Plex Mono"/>
                <w:sz w:val="18"/>
              </w:rPr>
              <w:t>)</w:t>
            </w:r>
          </w:p>
          <w:p>
            <w:pPr>
              <w:spacing w:after="100"/>
            </w:pPr>
            <w:r>
              <w:rPr>
                <w:rFonts w:ascii="IBM Plex Mono" w:hAnsi="IBM Plex Mono" w:eastAsia="IBM Plex Mono" w:cs="IBM Plex Mono"/>
                <w:sz w:val="18"/>
              </w:rPr>
              <w:t>hilftMit(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AuffNr</w:t>
            </w:r>
            <w:r>
              <w:rPr>
                <w:rFonts w:ascii="IBM Plex Mono" w:hAnsi="IBM Plex Mono" w:eastAsia="IBM Plex Mono" w:cs="IBM Plex Mono"/>
                <w:sz w:val="18"/>
              </w:rPr>
              <w:t>, Aufgabe)</w:t>
            </w:r>
          </w:p>
          <w:p>
            <w:pPr>
              <w:pStyle w:val="DDTabellentext"/>
              <w:spacing w:after="60"/>
            </w:pPr>
            <w:r>
              <w:t>Folgefehler aus a) werden nicht erneut abgezogen.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spielt ohne </w:t>
            </w:r>
            <w:r>
              <w:rPr>
                <w:rFonts w:ascii="IBM Plex Mono" w:hAnsi="IBM Plex Mono" w:eastAsia="IBM Plex Mono" w:cs="IBM Plex Mono"/>
                <w:color w:val="B3261E"/>
              </w:rPr>
              <w:t>↑</w:t>
            </w:r>
            <w:r>
              <w:t>AuffNr bzw. Schlüssel nur aus zwei Attributen ohne Begründung.</w:t>
            </w:r>
          </w:p>
          <w:p>
            <w:pPr>
              <w:pStyle w:val="DDTabellentext"/>
            </w:pPr>
            <w:r>
              <w:rPr>
                <w:rFonts w:ascii="IBM Plex Mono" w:hAnsi="IBM Plex Mono" w:eastAsia="IBM Plex Mono" w:cs="IBM Plex Mono"/>
                <w:b/>
                <w:color w:val="B3261E"/>
                <w:sz w:val="15"/>
                <w:shd w:val="clear" w:color="auto" w:fill="F8E3DF"/>
              </w:rPr>
              <w:t>◆ P9</w:t>
            </w:r>
            <w:r>
              <w:t xml:space="preserve">  Fremdschlüssel auf der 1-Seite (z. B. </w:t>
            </w:r>
            <w:r>
              <w:rPr>
                <w:rFonts w:ascii="IBM Plex Mono" w:hAnsi="IBM Plex Mono" w:eastAsia="IBM Plex Mono" w:cs="IBM Plex Mono"/>
                <w:color w:val="B3261E"/>
              </w:rPr>
              <w:t>↑</w:t>
            </w:r>
            <w:r>
              <w:t>RollenNr in Stueck).</w:t>
            </w:r>
          </w:p>
        </w:tc>
      </w:tr>
    </w:tbl>
    <w:p>
      <w:pPr>
        <w:spacing w:after="0" w:line="160" w:lineRule="exact"/>
      </w:pPr>
    </w:p>
    <w:p>
      <w:pPr>
        <w:keepNext/>
        <w:tabs>
          <w:tab w:pos="454" w:val="left"/>
        </w:tabs>
        <w:spacing w:before="160"/>
        <w:ind w:left="454" w:hanging="454"/>
      </w:pPr>
      <w:r>
        <w:rPr>
          <w:b/>
        </w:rPr>
        <w:t>e)</w:t>
        <w:tab/>
      </w:r>
      <w:r>
        <w:rPr>
          <w:b/>
        </w:rPr>
        <w:t>Begründen</w:t>
      </w:r>
      <w:r>
        <w:t xml:space="preserve"> Sie die Wahl des Primärschlüssels der Relation, die aus dem Beziehungstyp spielt entsteht.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(MitgliedNr, AuffNr) reicht nicht, weil ein Mitglied in einer Aufführung mehrere Rollen spielen kann. (RollenNr, AuffNr) reicht nicht, weil eine Rolle wie „Chor“ in einer Aufführung von mehreren Mitgliedern gespielt wird. (MitgliedNr, RollenNr) reicht nicht, weil dasselbe Mitglied dieselbe Rolle in vielen Aufführungen spielt. Erst alle drei Fremdschlüssel zusammen identifizieren eine Zeile; der Schlüssel ist minimal, weil keiner weggelassen werden kann.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Schlüssel ohne Minimalitäts- bzw. Eindeutigkeitsargument.</w:t>
            </w:r>
          </w:p>
        </w:tc>
      </w:tr>
    </w:tbl>
    <w:p>
      <w:pPr>
        <w:spacing w:after="0" w:line="160" w:lineRule="exact"/>
      </w:pPr>
    </w:p>
    <w:p>
      <w:pPr>
        <w:keepNext/>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3600000" cy="2001794"/>
                  <wp:docPr id="2" name="Picture 2"/>
                  <wp:cNvGraphicFramePr>
                    <a:graphicFrameLocks noChangeAspect="1"/>
                  </wp:cNvGraphicFramePr>
                  <a:graphic>
                    <a:graphicData uri="http://schemas.openxmlformats.org/drawingml/2006/picture">
                      <pic:pic>
                        <pic:nvPicPr>
                          <pic:cNvPr id="0" name="er_140496738788096.png"/>
                          <pic:cNvPicPr/>
                        </pic:nvPicPr>
                        <pic:blipFill>
                          <a:blip r:embed="rId12"/>
                          <a:stretch>
                            <a:fillRect/>
                          </a:stretch>
                        </pic:blipFill>
                        <pic:spPr>
                          <a:xfrm>
                            <a:off x="0" y="0"/>
                            <a:ext cx="3600000" cy="2001794"/>
                          </a:xfrm>
                          <a:prstGeom prst="rect"/>
                        </pic:spPr>
                      </pic:pic>
                    </a:graphicData>
                  </a:graphic>
                </wp:inline>
              </w:drawing>
            </w:r>
          </w:p>
          <w:p>
            <w:pPr>
              <w:pStyle w:val="DDTabellentext"/>
              <w:spacing w:after="60"/>
            </w:pPr>
            <w:r>
              <w:t>Alle drei Fremdschlüssel bilden gemeinsam den Primärschlüssel – daher eine ternäre Beziehung mit dem Attribut Datum.</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drei binäre Beziehungen statt einer ternären.</w:t>
            </w:r>
          </w:p>
          <w:p>
            <w:pPr>
              <w:pStyle w:val="DDTabellentext"/>
            </w:pPr>
            <w:r>
              <w:rPr>
                <w:rFonts w:ascii="IBM Plex Mono" w:hAnsi="IBM Plex Mono" w:eastAsia="IBM Plex Mono" w:cs="IBM Plex Mono"/>
                <w:b/>
                <w:color w:val="B3261E"/>
                <w:sz w:val="15"/>
                <w:shd w:val="clear" w:color="auto" w:fill="F8E3DF"/>
              </w:rPr>
              <w:t>◆ P9</w:t>
            </w:r>
            <w:r>
              <w:t xml:space="preserve">  Datum an Kostuem oder Werkstatt.</w:t>
            </w:r>
          </w:p>
        </w:tc>
      </w:tr>
    </w:tbl>
    <w:p>
      <w:pPr>
        <w:spacing w:after="0" w:line="160" w:lineRule="exact"/>
      </w:pPr>
    </w:p>
    <w:p>
      <w:pPr>
        <w:keepNext/>
        <w:tabs>
          <w:tab w:pos="454" w:val="left"/>
        </w:tabs>
        <w:spacing w:before="160"/>
        <w:ind w:left="454" w:hanging="454"/>
      </w:pPr>
      <w:r>
        <w:rPr>
          <w:b/>
        </w:rPr>
        <w:t>g)</w:t>
        <w:tab/>
      </w:r>
      <w:r>
        <w:rPr>
          <w:b/>
        </w:rPr>
        <w:t>Beurteilen</w:t>
      </w:r>
      <w:r>
        <w:t xml:space="preserve"> Sie das Vorhaben der Theater-AG (Material 6) unter Bezug auf die Grundsätze Einwilligung, Zweckbindung und Datenminimierung und nennen Sie eine geeignete Maßnahme.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Fotos und Namen sind personenbezogene Daten; ihre Veröffentlichung im Internet ist nur mit </w:t>
            </w:r>
            <w:r>
              <w:rPr>
                <w:b/>
              </w:rPr>
              <w:t>Einwilligung</w:t>
            </w:r>
            <w:r>
              <w:t xml:space="preserve"> zulässig (bei Minderjährigen auch der Eltern) – für Personen im Publikum liegt sie nicht vor. </w:t>
            </w:r>
            <w:r>
              <w:rPr>
                <w:b/>
              </w:rPr>
              <w:t>Zweckbindung:</w:t>
            </w:r>
            <w:r>
              <w:t xml:space="preserve"> Die Mitgliederdaten wurden für die Organisation der AG erhoben, nicht für die Öffentlichkeitsarbeit. </w:t>
            </w:r>
            <w:r>
              <w:rPr>
                <w:b/>
              </w:rPr>
              <w:t>Datenminimierung:</w:t>
            </w:r>
            <w:r>
              <w:t xml:space="preserve"> Für eine Würdigung der Aufführung genügen Stück, Rollen und ggf. Vornamen – die Klasse ist überflüssig. Urteil: so nicht zulässig.</w:t>
            </w:r>
          </w:p>
          <w:p>
            <w:pPr>
              <w:pStyle w:val="DDTabellentext"/>
              <w:spacing w:after="60"/>
            </w:pPr>
            <w:r>
              <w:rPr>
                <w:b/>
              </w:rPr>
              <w:t>Maßnahme:</w:t>
            </w:r>
            <w:r>
              <w:t xml:space="preserve"> Einwilligungen schriftlich einholen, nur Bühnenfotos ohne Publikum, Liste ohne Klassen (nur Vornamen) bzw. im passwortgeschützten Schulbereich.</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Grundsätze nur genannt; Publikum übersehen; kein Urteil.</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pruefung/kostuemverleih</vt:lpwstr>
  </property>
  <property fmtid="{D5CDD505-2E9C-101B-9397-08002B2CF9AE}" pid="5" name="DD-Fassung">
    <vt:lpwstr>loesung</vt:lpwstr>
  </property>
  <property fmtid="{D5CDD505-2E9C-101B-9397-08002B2CF9AE}" pid="6" name="DD-Kompetenzen">
    <vt:lpwstr>{"NK-A-a": ["DB-K03", "DB-K04", "DB-K05"], "NK-A-b": ["DB-K02"], "NK-A-c": ["DB-K07", "DB-K08", "DB-K09", "DB-K10"], "NK-A-d": ["DB-K18", "DB-K23"], "NK-A-e": ["DB-K16", "DB-K24"], "NK-A-f": ["DB-K22", "DB-K26", "DB-K27"], "NK-A-g": ["DB-K19", "DB-K24", "DB-K28"], "NK-A-h": ["DB-K30"], "NK-B-a": ["DB-K35", "DB-K36", "DB-K37", "DB-K38", "DB-K47"], "NK-B-b": ["DB-K34"], "NK-B-c": ["DB-K40"], "NK-B-d": ["DB-K04", "DB-K41"], "NK-B-e": ["DB-K42"], "NK-B-f": ["DB-K43"], "NK-B-g": ["DB-K44", "DB-K45", "DB-K46"]}</vt:lpwstr>
  </property>
  <property fmtid="{D5CDD505-2E9C-101B-9397-08002B2CF9AE}" pid="7" name="DD-Kuer">
    <vt:lpwstr>nein</vt:lpwstr>
  </property>
  <property fmtid="{D5CDD505-2E9C-101B-9397-08002B2CF9AE}" pid="8" name="DD-Material">
    <vt:lpwstr>NK-eA</vt:lpwstr>
  </property>
</Properties>
</file>