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6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Lehrerhinweise Akte 6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Datenspuren · DS 12 · Datenschutz, Quasi-Identifikatoren, Schlussplädoyer, Debatte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502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50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Überblick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510"/>
        <w:gridCol w:w="3288"/>
        <w:gridCol w:w="2211"/>
        <w:gridCol w:w="1474"/>
        <w:gridCol w:w="2154"/>
      </w:tblGrid>
      <w:tr>
        <w:trPr>
          <w:tblHeader/>
        </w:trPr>
        <w:tc>
          <w:tcPr>
            <w:tcW w:type="dxa" w:w="51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DS</w:t>
            </w:r>
          </w:p>
        </w:tc>
        <w:tc>
          <w:tcPr>
            <w:tcW w:type="dxa" w:w="328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Thema</w:t>
            </w:r>
          </w:p>
        </w:tc>
        <w:tc>
          <w:tcPr>
            <w:tcW w:type="dxa" w:w="221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Lab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Warm-up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Abi-Bezug</w:t>
            </w:r>
          </w:p>
        </w:tc>
      </w:tr>
      <w:tr>
        <w:tc>
          <w:tcPr>
            <w:tcW w:type="dxa" w:w="5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12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Das Phantom – pseudonyme Exporte per Verbund und GROUP BY/HAVING verknüpfen, Quasi-Identifikatoren, DSGVO-Grundsätze, Datenschutz vs. Datensicherheit, Erörterung (K44, K45, K46, K24, K26; Übung K27, K18)</w:t>
            </w:r>
          </w:p>
        </w:tc>
        <w:tc>
          <w:tcPr>
            <w:tcW w:type="dxa" w:w="221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Schlussplädoyer A6-E1-09…14, A6-E1-01…08, Cold Case A6-E1-CC; Verhör 6 · Fitness-App (15')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eA: W-A5-09…12 · gA: W-A4-05…08; W-A6 als Vorbereitung auf DS 13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Datenschutz G22, G23 und KC-Pflicht (IK4.1/IK4.2); Operator „beurteilen“ verlangt ein Urteil (P10)</w:t>
            </w:r>
          </w:p>
        </w:tc>
      </w:tr>
    </w:tbl>
    <w:p>
      <w:pPr>
        <w:spacing w:after="0" w:line="80" w:lineRule="exact"/>
      </w:pPr>
    </w:p>
    <w:p>
      <w:r>
        <w:rPr>
          <w:b/>
        </w:rPr>
        <w:t>Material:</w:t>
      </w:r>
      <w:r>
        <w:t xml:space="preserve"> Präsentation </w:t>
      </w:r>
      <w:r>
        <w:rPr>
          <w:rFonts w:ascii="IBM Plex Mono" w:hAnsi="IBM Plex Mono" w:eastAsia="IBM Plex Mono" w:cs="IBM Plex Mono"/>
          <w:sz w:val="19"/>
        </w:rPr>
        <w:t>DD_A6_Datenspuren.pptx</w:t>
      </w:r>
      <w:r>
        <w:t xml:space="preserve"> (Folien 2–22; Folien mit „[NUR LEHRKRAFT]“ – Indizienkette, Auflösung, Steckbrief, Lösung Abi-Format – fehlen im Handout) · AB 6.1 mit Lösung · Kopiervorlagen „Steh auf, wenn …“ (30 Profilkarten) und Rollenkarten-Debatte (5 Rollen, je 4 Argumentkarten, Beobachtungsbogen), jeweils mit Lösungsfassung · Warm-up-Karten A6 · Datenbank </w:t>
      </w:r>
      <w:r>
        <w:rPr>
          <w:rFonts w:ascii="IBM Plex Mono" w:hAnsi="IBM Plex Mono" w:eastAsia="IBM Plex Mono" w:cs="IBM Plex Mono"/>
          <w:sz w:val="19"/>
        </w:rPr>
        <w:t>datenspuren</w:t>
      </w:r>
      <w:r>
        <w:t xml:space="preserve"> (fünf Exporte ohne Fremdschlüssel).</w:t>
      </w:r>
    </w:p>
    <w:p>
      <w:r>
        <w:rPr>
          <w:b/>
        </w:rPr>
        <w:t>Grundkurs (gA):</w:t>
      </w:r>
      <w:r>
        <w:t xml:space="preserve"> DS 12 ist im gA-Pfad die 9. Doppelstunde (direkt nach Akte 4). Alle Aufgaben sind gA/eA; Warm-up mit W-A4-05…08 statt W-A5-09…12; im Briefing vor dem ersten Satz: „Unsere Fall-Datenbank zeigt: Nur eine Person ist in allen vier Fällen verdächtig – Nora Falter.“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Story-Faden und Auflösung (nicht vorwegnehmen)</w:t>
            </w:r>
          </w:p>
          <w:p>
            <w:pPr>
              <w:pStyle w:val="DDTabellentext"/>
              <w:spacing w:after="60"/>
            </w:pPr>
            <w:r>
              <w:t xml:space="preserve">Bürgermeisterin Annegret Vollmers überlässt der Detektei pseudonyme Exporte. Das Schlussplädoyer führt über das Token </w:t>
            </w:r>
            <w:r>
              <w:rPr>
                <w:b/>
              </w:rPr>
              <w:t>R-7F3A</w:t>
            </w:r>
            <w:r>
              <w:t xml:space="preserve"> (fünf Nachtfahrten), das Gerät </w:t>
            </w:r>
            <w:r>
              <w:rPr>
                <w:b/>
              </w:rPr>
              <w:t>WA-3917</w:t>
            </w:r>
            <w:r>
              <w:t xml:space="preserve"> (WeserApp), das Vereinsmitglied </w:t>
            </w:r>
            <w:r>
              <w:rPr>
                <w:b/>
              </w:rPr>
              <w:t>V-2571</w:t>
            </w:r>
            <w:r>
              <w:t xml:space="preserve"> und die nächtliche Adresse </w:t>
            </w:r>
            <w:r>
              <w:rPr>
                <w:b/>
              </w:rPr>
              <w:t>Kranstraße 7</w:t>
            </w:r>
            <w:r>
              <w:t xml:space="preserve"> zu </w:t>
            </w:r>
            <w:r>
              <w:rPr>
                <w:b/>
              </w:rPr>
              <w:t>Merle Falkenrath</w:t>
            </w:r>
            <w:r>
              <w:t xml:space="preserve"> (Jahrgang 1988, Hafenviertel, Tischtennis, bis 2025 Datenschutzbeauftragte der Stadt). Zwei Unbeteiligte – Tamara Leversen und Ole Brakhage – standen kurz auf der Kandidatenliste. Wendung: Die Detektei hat genau das getan, was das Phantom anprangert. Name und Beruf stehen nur in Lehrkraftmaterial, im Lab erst nach Spur 6.</w:t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DS 12 · Ermittlung 6.1 „Das Phantom“</w:t>
      </w:r>
    </w:p>
    <w:p>
      <w:pPr>
        <w:pStyle w:val="Heading2"/>
      </w:pPr>
      <w:r>
        <w:t>Ziele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verknüpfen</w:t>
      </w:r>
      <w:r>
        <w:t xml:space="preserve"> pseudonyme Datenbestände per Verbund über Quasi-Identifikatoren und GROUP BY/HAVING und </w:t>
      </w:r>
      <w:r>
        <w:rPr>
          <w:b/>
        </w:rPr>
        <w:t>erläutern</w:t>
      </w:r>
      <w:r>
        <w:t>, wie kleine Gruppen eine Person erkennbar machen.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erläutern</w:t>
      </w:r>
      <w:r>
        <w:t xml:space="preserve"> das Recht auf informationelle Selbstbestimmung und die DSGVO-Grundsätze (Rechtmäßigkeit/Einwilligung, Zweckbindung, Datenminimierung, Transparenz, Speicherbegrenzung) sowie besondere Kategorien personenbezogener Daten.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beurteilen</w:t>
      </w:r>
      <w:r>
        <w:t xml:space="preserve"> konkrete Datennutzungen (z. B. Werbung, Weitergabe) anhand der Grundsätze und ihrer Voraussetzungen.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unterscheiden</w:t>
      </w:r>
      <w:r>
        <w:t xml:space="preserve"> Datenschutz und Datensicherheit, </w:t>
      </w:r>
      <w:r>
        <w:rPr>
          <w:b/>
        </w:rPr>
        <w:t>erörtern</w:t>
      </w:r>
      <w:r>
        <w:t xml:space="preserve"> Chancen und Risiken automatisierter Datenanalyse und </w:t>
      </w:r>
      <w:r>
        <w:rPr>
          <w:b/>
        </w:rPr>
        <w:t>nennen</w:t>
      </w:r>
      <w:r>
        <w:t xml:space="preserve"> technische Schutzmaßnahmen (Pseudonymisierung, Aggregation, Mindestgruppengröße, Zugriffsrechte, Verschlüsselung).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582" w:type="dxa"/>
      </w:tblPr>
      <w:tblGrid>
        <w:gridCol w:w="1587"/>
        <w:gridCol w:w="680"/>
        <w:gridCol w:w="3969"/>
        <w:gridCol w:w="1304"/>
        <w:gridCol w:w="2041"/>
      </w:tblGrid>
      <w:tr>
        <w:trPr>
          <w:tblHeader/>
        </w:trPr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Phase</w:t>
            </w:r>
          </w:p>
        </w:tc>
        <w:tc>
          <w:tcPr>
            <w:tcW w:type="dxa" w:w="68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Zeit</w:t>
            </w:r>
          </w:p>
        </w:tc>
        <w:tc>
          <w:tcPr>
            <w:tcW w:type="dxa" w:w="3969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Inhalt / Ablauf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Sozialform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Material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0–10'</w:t>
            </w:r>
          </w:p>
        </w:tc>
        <w:tc>
          <w:tcPr>
            <w:tcW w:type="dxa" w:w="396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eA: W-A5-09…12 (Überführung, Schema → ER, Verbund einer Tabelle mit sich selbst) · gA: W-A4-05…08 (Schlüssel, Zerlegung, zusammengelegte Tabelle)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 → Team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Warm-up-Karten A5 bzw. A4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Briefing + Unplugged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10–20'</w:t>
            </w:r>
          </w:p>
        </w:tc>
        <w:tc>
          <w:tcPr>
            <w:tcW w:type="dxa" w:w="396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Finale (STORY 5.12): „Nora Falter“ ist ein Tarnname; Exporte der Stadt. „Steh auf, wenn …“, Impuls: „Niemand hat euren Namen genannt. Wurdet ihr trotzdem erkannt?“ Begriffe pseudonym/anonym, Quasi-Identifikator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Plenum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2–8, Profilkarten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Lab-Einsatz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20–55'</w:t>
            </w:r>
          </w:p>
        </w:tc>
        <w:tc>
          <w:tcPr>
            <w:tcW w:type="dxa" w:w="396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Schlussplädoyer</w:t>
            </w:r>
            <w:r>
              <w:rPr>
                <w:sz w:val="17"/>
              </w:rPr>
              <w:t xml:space="preserve"> A6-E1-09…14 (Indizienkette → Enttarnung), dann A6-E1-01…06; 07/08 (Kernpunkte) und Rest als Hausaufgabe. AB 6.1 Auftrag 3 parallel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iPad/Laptop, AB 6.1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Debatte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55–80'</w:t>
            </w:r>
          </w:p>
        </w:tc>
        <w:tc>
          <w:tcPr>
            <w:tcW w:type="dxa" w:w="396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Auflösung, Überleitung, </w:t>
            </w:r>
            <w:r>
              <w:rPr>
                <w:b/>
                <w:sz w:val="17"/>
              </w:rPr>
              <w:t>Rollenkarten-Debatte „Durfte die Detektei das?“</w:t>
            </w:r>
            <w:r>
              <w:rPr>
                <w:sz w:val="17"/>
              </w:rPr>
              <w:t xml:space="preserve"> (siehe unten)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Rollengruppen, Plenum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10–14, Rollen- und Argumentkarten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Fallbesprechung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80–90'</w:t>
            </w:r>
          </w:p>
        </w:tc>
        <w:tc>
          <w:tcPr>
            <w:tcW w:type="dxa" w:w="396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Merkkasten DSGVO-Grundsätze + Datenschutz vs. Datensicherheit + Maßnahmen; Abi-Format (4 BE) beurteilen; Steckbrief komplett; Hinweis Verhör 6 und Warm-up-Hausaufgabe vor der Generalprobe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UG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Folien 15–22</w:t>
            </w:r>
          </w:p>
        </w:tc>
      </w:tr>
    </w:tbl>
    <w:p>
      <w:pPr>
        <w:spacing w:after="0" w:line="80" w:lineRule="exact"/>
      </w:pPr>
    </w:p>
    <w:p>
      <w:r>
        <w:rPr>
          <w:i/>
        </w:rPr>
        <w:t>Abweichung vom Standardtakt:</w:t>
      </w:r>
      <w:r>
        <w:t xml:space="preserve"> Lab 35' statt 45', dafür Debatte 25' (Erörterung KC IK4.1/IK4.2).</w:t>
      </w:r>
    </w:p>
    <w:p>
      <w:pPr>
        <w:pStyle w:val="Heading2"/>
      </w:pPr>
      <w:r>
        <w:t>Unplugged 1: „Steh auf, wenn …“ (7 min)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 xml:space="preserve">30 fiktive Profilkarten (Jahrgang, Stadtteil, Tarif, Verein, Lieblingsstand; </w:t>
      </w:r>
      <w:r>
        <w:rPr>
          <w:b/>
        </w:rPr>
        <w:t>keine</w:t>
      </w:r>
      <w:r>
        <w:t xml:space="preserve"> echten Schülerdaten). Bei weniger als 30 Personen die Karten mit Jahrgang 1988 auf jeden Fall verteilen.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>Ansagen: „Alle mit Jahrgang 1988 stehen auf.“ (7) → „… davon nur Hafenviertel.“ (3) → „… und Tarif Plus.“ (1 – Profil 17). Optional Runde 2: Fischbrötchen (6) → Ruderclub Weser (2) → Tarif Schule (1 – Profil 25).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t xml:space="preserve">Impulse: </w:t>
      </w:r>
      <w:r>
        <w:rPr>
          <w:i/>
        </w:rPr>
        <w:t>„Die Person ist nicht genannt – aber eindeutig bestimmt. Was ist ein Quasi-Identifikator?“</w:t>
      </w:r>
      <w:r>
        <w:t xml:space="preserve"> – </w:t>
      </w:r>
      <w:r>
        <w:rPr>
          <w:i/>
        </w:rPr>
        <w:t>„Ab welcher Gruppengröße fühlt ihr euch ‚anonym‘?“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t>Sicherung: Begriff Quasi-Identifikator, „kleine Gruppen machen Personen erkennbar“ an die Tafel.</w:t>
      </w:r>
    </w:p>
    <w:p>
      <w:pPr>
        <w:pStyle w:val="Heading2"/>
      </w:pPr>
      <w:r>
        <w:t>Unplugged 2: Rollenkarten-Debatte „Durfte die Detektei das?“ (25 min)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 xml:space="preserve">Rollen nach STORY 8: </w:t>
      </w:r>
      <w:r>
        <w:rPr>
          <w:b/>
        </w:rPr>
        <w:t>Stadt Weserstedt</w:t>
      </w:r>
      <w:r>
        <w:t xml:space="preserve"> (Bürgermeisterin Annegret Vollmers), </w:t>
      </w:r>
      <w:r>
        <w:rPr>
          <w:b/>
        </w:rPr>
        <w:t>Datendetektei</w:t>
      </w:r>
      <w:r>
        <w:t xml:space="preserve"> (Edda Lorenz), </w:t>
      </w:r>
      <w:r>
        <w:rPr>
          <w:b/>
        </w:rPr>
        <w:t>das Phantom</w:t>
      </w:r>
      <w:r>
        <w:t xml:space="preserve"> (Merle Falkenrath), </w:t>
      </w:r>
      <w:r>
        <w:rPr>
          <w:b/>
        </w:rPr>
        <w:t>Bürgerin</w:t>
      </w:r>
      <w:r>
        <w:t xml:space="preserve"> (Tamara Leversen, Hafenviertel, Jahrgang 1988), </w:t>
      </w:r>
      <w:r>
        <w:rPr>
          <w:b/>
        </w:rPr>
        <w:t>Landesdatenschutzbehörde</w:t>
      </w:r>
      <w:r>
        <w:t xml:space="preserve"> (Referent Mats Oltmanns). Je Rolle 4 Argumentkarten mit DSGVO-Bezug.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Vorbereitung (6'):</w:t>
      </w:r>
      <w:r>
        <w:t xml:space="preserve"> Rollengruppen (je 4–6) sammeln Argumente; jede Gruppe verwendet mindestens zwei Grundsätze (Zweckbindung, Datenminimierung, Rechtsgrundlage, Transparenz, Speicherbegrenzung).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Talkrunde (12'):</w:t>
      </w:r>
      <w:r>
        <w:t xml:space="preserve"> je eine Sprecherin bzw. ein Sprecher pro Rolle, Lehrkraft moderiert. Leitfragen: </w:t>
      </w:r>
      <w:r>
        <w:rPr>
          <w:i/>
        </w:rPr>
        <w:t>„Welcher Zweck rechtfertigt das Zusammenführen?“</w:t>
      </w:r>
      <w:r>
        <w:t xml:space="preserve"> – </w:t>
      </w:r>
      <w:r>
        <w:rPr>
          <w:i/>
        </w:rPr>
        <w:t>„Was hätte die Stadt nie veröffentlichen dürfen?“</w:t>
      </w:r>
      <w:r>
        <w:t xml:space="preserve"> – </w:t>
      </w:r>
      <w:r>
        <w:rPr>
          <w:i/>
        </w:rPr>
        <w:t>„Wer trägt die Verantwortung – wer veröffentlicht oder wer verknüpft?“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Rollen ablegen (4'):</w:t>
      </w:r>
      <w:r>
        <w:t xml:space="preserve"> persönliche Abstimmung per Handzeichen, zwei Begründungen aus dem Plenum.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5.</w:t>
        <w:tab/>
      </w:r>
      <w:r>
        <w:rPr>
          <w:b/>
        </w:rPr>
        <w:t>Sicherung (3'):</w:t>
      </w:r>
      <w:r>
        <w:t xml:space="preserve"> Kriterien für ein begründetes Urteil (Grundsatz – Sachverhalt – Abwägung – Urteil) festhalten.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6.</w:t>
        <w:tab/>
      </w:r>
      <w:r>
        <w:t xml:space="preserve">Kopiervorlage: Die </w:t>
      </w:r>
      <w:r>
        <w:rPr>
          <w:b/>
        </w:rPr>
        <w:t>Schülerfassung</w:t>
      </w:r>
      <w:r>
        <w:t xml:space="preserve"> nennt Name und Beruf des Phantoms nicht (Feld zum Eintragen nach der Auflösung) – sie kann also schon vor der Stunde im Portal stehen. Die </w:t>
      </w:r>
      <w:r>
        <w:rPr>
          <w:b/>
        </w:rPr>
        <w:t>Lösungsfassung</w:t>
      </w:r>
      <w:r>
        <w:t xml:space="preserve"> enthält die vollständige Rollenkarte 3 und Moderationshinweise mit möglichen Urteilen. Rechtliche Aussagen sind didaktisch vereinfacht.</w:t>
      </w:r>
    </w:p>
    <w:p>
      <w:pPr>
        <w:pStyle w:val="Heading2"/>
      </w:pPr>
      <w:r>
        <w:t>Tafelbild „Ermittler-Notiz“</w:t>
      </w:r>
    </w:p>
    <w:p>
      <w:r>
        <w:rPr>
          <w:b/>
        </w:rPr>
        <w:t>Informationelle Selbstbestimmung:</w:t>
      </w:r>
      <w:r>
        <w:t xml:space="preserve"> Jede Person entscheidet grundsätzlich selbst über Preisgabe und Verwendung ihrer persönlichen Daten.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582" w:type="dxa"/>
      </w:tblPr>
      <w:tblGrid>
        <w:gridCol w:w="2608"/>
        <w:gridCol w:w="6974"/>
      </w:tblGrid>
      <w:tr>
        <w:trPr>
          <w:tblHeader/>
        </w:trPr>
        <w:tc>
          <w:tcPr>
            <w:tcW w:type="dxa" w:w="260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DSGVO-Grundsatz</w:t>
            </w:r>
          </w:p>
        </w:tc>
        <w:tc>
          <w:tcPr>
            <w:tcW w:type="dxa" w:w="6973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Fall Weserstedt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Rechtmäßigkeit / Einwilligung</w:t>
            </w:r>
          </w:p>
        </w:tc>
        <w:tc>
          <w:tcPr>
            <w:tcW w:type="dxa" w:w="697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Die Rad-Daten wurden für die Abrechnung erhoben – nicht für Fahndung oder Werbung.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Zweckbindung</w:t>
            </w:r>
          </w:p>
        </w:tc>
        <w:tc>
          <w:tcPr>
            <w:tcW w:type="dxa" w:w="697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Zusammenführen mit Vereins- und Festdaten ist ein neuer Zweck.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Datenminimierung</w:t>
            </w:r>
          </w:p>
        </w:tc>
        <w:tc>
          <w:tcPr>
            <w:tcW w:type="dxa" w:w="697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Jahrgang + Stadtteil + Tarif waren für die Veröffentlichung nicht nötig.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Transparenz</w:t>
            </w:r>
          </w:p>
        </w:tc>
        <w:tc>
          <w:tcPr>
            <w:tcW w:type="dxa" w:w="697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Bürger wussten nicht von der Weitergabe.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Speicherbegrenzung</w:t>
            </w:r>
          </w:p>
        </w:tc>
        <w:tc>
          <w:tcPr>
            <w:tcW w:type="dxa" w:w="697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Exporte aus mehreren Jahren statt Löschung nach Zweckerfüllung.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besondere Kategorien</w:t>
            </w:r>
          </w:p>
        </w:tc>
        <w:tc>
          <w:tcPr>
            <w:tcW w:type="dxa" w:w="697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Gesundheitsdaten (z. B. Fitness-App) besonders geschützt.</w:t>
            </w:r>
          </w:p>
        </w:tc>
      </w:tr>
    </w:tbl>
    <w:p>
      <w:pPr>
        <w:spacing w:after="0" w:line="80" w:lineRule="exact"/>
      </w:pP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Pseudonym ≠ anonym:</w:t>
      </w:r>
      <w:r>
        <w:t xml:space="preserve"> Ein Token ersetzt den Namen, aber Quasi-Identifikatoren (Jahrgang, Stadtteil, Tarif, Zeitmuster) lassen sich verknüpfen.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Datenschutz</w:t>
      </w:r>
      <w:r>
        <w:t xml:space="preserve"> schützt Personen und ihre Rechte; </w:t>
      </w:r>
      <w:r>
        <w:rPr>
          <w:b/>
        </w:rPr>
        <w:t>Datensicherheit</w:t>
      </w:r>
      <w:r>
        <w:t xml:space="preserve"> schützt Daten (Vertraulichkeit, Integrität, Verfügbarkeit) – technische Mittel für beides.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Maßnahmen:</w:t>
      </w:r>
      <w:r>
        <w:t xml:space="preserve"> Aggregation, Mindestgruppengröße (z. B. keine Gruppen &lt; 5), Vergröberung (Jahrzehnt statt Jahrgang), wechselnde Pseudonyme, Zugriffsrechte, Verschlüsselung, Löschfristen.</w:t>
      </w:r>
    </w:p>
    <w:p>
      <w:pPr>
        <w:pStyle w:val="SQL-Code"/>
      </w:pPr>
      <w:r>
        <w:t>SELECT Jahrgang, Stadtteil, COUNT(*) AS Anzahl</w:t>
        <w:br/>
        <w:t>FROM Einwohner</w:t>
        <w:br/>
        <w:t>GROUP BY Jahrgang, Stadtteil</w:t>
        <w:br/>
        <w:t>HAVING COUNT(*) &lt; 3</w:t>
        <w:br/>
        <w:t>ORDER BY Anzahl;</w:t>
      </w:r>
    </w:p>
    <w:p>
      <w:r>
        <w:rPr>
          <w:b/>
        </w:rPr>
        <w:t>Ermittler-Notiz:</w:t>
      </w:r>
      <w:r>
        <w:t xml:space="preserve"> Jede Gruppe in diesem Ergebnis ist ein Risiko: Wer Jahrgang und Stadtteil kennt, kann die Person fast eindeutig bestimmen. (Auf der DB </w:t>
      </w:r>
      <w:r>
        <w:rPr>
          <w:rFonts w:ascii="IBM Plex Mono" w:hAnsi="IBM Plex Mono" w:eastAsia="IBM Plex Mono" w:cs="IBM Plex Mono"/>
          <w:sz w:val="19"/>
        </w:rPr>
        <w:t>datenspuren</w:t>
      </w:r>
      <w:r>
        <w:t>: 180 Gruppen; die Präsentation zeigt die ersten Zeilen mit eindeutiger Sortierung.)</w:t>
      </w:r>
    </w:p>
    <w:p>
      <w:pPr>
        <w:pStyle w:val="Heading2"/>
      </w:pPr>
      <w:r>
        <w:t>Schlussplädoyer: Indizienkette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582" w:type="dxa"/>
      </w:tblPr>
      <w:tblGrid>
        <w:gridCol w:w="1247"/>
        <w:gridCol w:w="3572"/>
        <w:gridCol w:w="4762"/>
      </w:tblGrid>
      <w:tr>
        <w:trPr>
          <w:tblHeader/>
        </w:trPr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Aufgabe</w:t>
            </w:r>
          </w:p>
        </w:tc>
        <w:tc>
          <w:tcPr>
            <w:tcW w:type="dxa" w:w="357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Frage</w:t>
            </w:r>
          </w:p>
        </w:tc>
        <w:tc>
          <w:tcPr>
            <w:tcW w:type="dxa" w:w="476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Ergebnis → Indiz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A6-E1-09</w:t>
            </w:r>
          </w:p>
        </w:tc>
        <w:tc>
          <w:tcPr>
            <w:tcW w:type="dxa" w:w="357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Welche Fahrten begannen vom 08.09. bis 12.09. an der Hafenkante?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R-7F3A: fünf Nachtfahrten (01–02 Uhr), 1988 · Hafenviertel · Plus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A6-E1-10</w:t>
            </w:r>
          </w:p>
        </w:tc>
        <w:tc>
          <w:tcPr>
            <w:tcW w:type="dxa" w:w="357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Wie viele verschiedene Tokens haben 1988 + Hafenviertel + Plus?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genau ein Token (P4: COUNT(*) je Gruppe zählt Fahrten)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A6-E1-11</w:t>
            </w:r>
          </w:p>
        </w:tc>
        <w:tc>
          <w:tcPr>
            <w:tcW w:type="dxa" w:w="357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Welches Gerät war zur selben Zeit am selben Ort?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WA-3917 mit 5 Treffern, WA-5530 mit 2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A6-E1-12</w:t>
            </w:r>
          </w:p>
        </w:tc>
        <w:tc>
          <w:tcPr>
            <w:tcW w:type="dxa" w:w="357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Wo hat das Gerät sonst eingecheckt?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19 Check-ins: TuS dienstags, Festplatz 21:52/23:06 am 29.08., Fundbüro 14.09. 10:17, Kranstraße 7 nachts; Gegenprobe Kaffeemobil 22–23 Uhr: 0 Kartenzahlungen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A6-E1-13</w:t>
            </w:r>
          </w:p>
        </w:tc>
        <w:tc>
          <w:tcPr>
            <w:tcW w:type="dxa" w:w="357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Welches Vereinsmitglied hat dieselben Merkmale?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V-2571 (Tischtennis); V-9952 „Nora Falter“ ohne Geburtsjahr fällt heraus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A6-E1-14</w:t>
            </w:r>
          </w:p>
        </w:tc>
        <w:tc>
          <w:tcPr>
            <w:tcW w:type="dxa" w:w="357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Wer wohnt an der Adresse, an der das Gerät nachts eincheckt?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Merle Falkenrath (ohne DISTINCT Mehrfachzeilen, ohne Jahrgang zusätzlich Nachbar Rune Siemers)</w:t>
            </w:r>
          </w:p>
        </w:tc>
      </w:tr>
    </w:tbl>
    <w:p>
      <w:pPr>
        <w:spacing w:after="0" w:line="80" w:lineRule="exact"/>
      </w:pPr>
    </w:p>
    <w:p>
      <w:r>
        <w:t xml:space="preserve">Musterabfragen mit Ergebnistabellen: Lösung AB 6.1, Auftrag 3, sowie </w:t>
      </w:r>
      <w:r>
        <w:rPr>
          <w:rFonts w:ascii="IBM Plex Mono" w:hAnsi="IBM Plex Mono" w:eastAsia="IBM Plex Mono" w:cs="IBM Plex Mono"/>
          <w:sz w:val="19"/>
        </w:rPr>
        <w:t>seed/datenbanken/datenspuren/LIESMICH.md</w:t>
      </w:r>
      <w:r>
        <w:t xml:space="preserve">. </w:t>
      </w:r>
      <w:r>
        <w:rPr>
          <w:b/>
        </w:rPr>
        <w:t>Lehrkraft-Hinweis:</w:t>
      </w:r>
      <w:r>
        <w:t xml:space="preserve"> Stufe 6 zeigt bewusst, dass zwei Unbeteiligte kurz verdächtig waren – Einstieg in die Debatte. Auch ihre Adressen liegen im Export (WA-1288 → Speicherstraße 14).</w:t>
      </w: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Verbund über Nicht-Schlüssel-Attribute vervielfacht Zeilen (P2) – hier gewollt als Kandidatenmenge, aber COUNT dann vorsichtig deuten → DISTINCT.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„Anonym, weil kein Name drinsteht“ → Unplugged-Erfahrung; Begriff Quasi-Identifikator.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Datenschutz und Datensicherheit verwechselt (Verschlüsselung „ist Datenschutz“) → Tafel-Unterscheidung.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Beurteilen ohne Bezug auf Grundsätze oder ohne Urteil (P10) → Schema Grundsatz – Sachverhalt – Abwägung – Urteil.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Debatte driftet in Meinungen ab → Argumentkarten mit Pflicht-Grundsatz.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Spur 1: OR-Fenster ohne Klammern (P6); </w:t>
      </w:r>
      <w:r>
        <w:rPr>
          <w:rFonts w:ascii="IBM Plex Mono" w:hAnsi="IBM Plex Mono" w:eastAsia="IBM Plex Mono" w:cs="IBM Plex Mono"/>
          <w:sz w:val="19"/>
        </w:rPr>
        <w:t>HAVING COUNT(*) = 1</w:t>
      </w:r>
      <w:r>
        <w:t xml:space="preserve"> statt WHERE (P1, A6-E1-04); Geburtsjahr und Jahrgang verwechselt (P7).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Cold Cases (AB 6.1 „Mindestgruppengröße“, Lab A6-E1-CC „Wie anonym ist Weserstedt?“); Moderationsrolle in der Debatte; Zusatz: Chancen der Datenanalyse (Verkehrsplanung) gegenüberstellen.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Schlussplädoyer mit Tipps; Satzbausteine für das Urteil („… ist unzulässig, weil …“); in der Debatte zunächst Zuhörerrolle mit Beobachtungsbogen.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Profilkarten (30) für „Steh auf, wenn …“ drucken und schneiden – Verteilung vorher prüfen (genau eine Person nach drei Merkmalen, Übersicht in der Lösungsfassung).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Rollen- und Argumentkarten (Unplugged-Set DS 12) je Rollengruppe einmal; Beobachtungsbogen für alle; Tische für die Talkrunde umstellen.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Akte 6 freischalten (gA: direkt nach Akte 4); Verhör 6 auf „auto“/„offen“.</w:t>
      </w:r>
    </w:p>
    <w:p>
      <w:pPr>
        <w:pStyle w:val="Heading2"/>
      </w:pPr>
      <w:r>
        <w:t>Verhör 6 · Fitness-App (V6, 15')</w:t>
      </w:r>
    </w:p>
    <w:p>
      <w:r>
        <w:t xml:space="preserve">Kontext-DB </w:t>
      </w:r>
      <w:r>
        <w:rPr>
          <w:rFonts w:ascii="IBM Plex Mono" w:hAnsi="IBM Plex Mono" w:eastAsia="IBM Plex Mono" w:cs="IBM Plex Mono"/>
          <w:sz w:val="19"/>
        </w:rPr>
        <w:t>verhoer/fitness</w:t>
      </w:r>
      <w:r>
        <w:t xml:space="preserve">: pseudonymer Export </w:t>
      </w:r>
      <w:r>
        <w:rPr>
          <w:rFonts w:ascii="IBM Plex Mono" w:hAnsi="IBM Plex Mono" w:eastAsia="IBM Plex Mono" w:cs="IBM Plex Mono"/>
          <w:sz w:val="19"/>
        </w:rPr>
        <w:t>Export(NutzerToken, Geburtsjahr, PLZBereich, Geschlecht, Schritte, Ruhepuls, Datum)</w:t>
      </w:r>
      <w:r>
        <w:t xml:space="preserve"> und Auszüge einer fiktiven Datenschutzerklärung; Gesundheitsdaten als besondere Kategorie, kleine Gruppen. Rahmensatz Edda: „Du weißt jetzt, wie leicht man Menschen in Daten findet – zeig mir, dass du weißt, wann man es nicht darf.“ 15 Minuten, 5 aus 8 Aufgaben (2 × </w:t>
      </w:r>
      <w:r>
        <w:rPr>
          <w:rFonts w:ascii="Segoe UI Symbol" w:hAnsi="Segoe UI Symbol" w:eastAsia="Segoe UI Symbol" w:cs="Segoe UI Symbol"/>
          <w:color w:val="94742B"/>
        </w:rPr>
        <w:t>★</w:t>
      </w:r>
      <w:r>
        <w:t xml:space="preserve">, 2 × </w:t>
      </w:r>
      <w:r>
        <w:rPr>
          <w:rFonts w:ascii="Segoe UI Symbol" w:hAnsi="Segoe UI Symbol" w:eastAsia="Segoe UI Symbol" w:cs="Segoe UI Symbol"/>
          <w:color w:val="94742B"/>
        </w:rPr>
        <w:t>★★</w:t>
      </w:r>
      <w:r>
        <w:t xml:space="preserve">, 1 × </w:t>
      </w:r>
      <w:r>
        <w:rPr>
          <w:rFonts w:ascii="Segoe UI Symbol" w:hAnsi="Segoe UI Symbol" w:eastAsia="Segoe UI Symbol" w:cs="Segoe UI Symbol"/>
          <w:color w:val="94742B"/>
        </w:rPr>
        <w:t>★★★</w:t>
      </w:r>
      <w:r>
        <w:t>), Abimodus streng, gA und eA gleich. Pool: Grundsätze, besondere Daten, Selbstbestimmung, Werbung, kleine Gruppen (SQL, HAVING), re-identifizierbar, Krankenkasse, Schutzmaßnahmen. Beweisstück: Steckbrief.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Lehrerhinweise A6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6 · DATENSPUREN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Lehrerhinweise Akte 6</dc:title>
  <dc:subject>Datenspuren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6</vt:lpwstr>
  </property>
  <property fmtid="{D5CDD505-2E9C-101B-9397-08002B2CF9AE}" pid="3" name="DD-Art">
    <vt:lpwstr>lehrerhinweise</vt:lpwstr>
  </property>
  <property fmtid="{D5CDD505-2E9C-101B-9397-08002B2CF9AE}" pid="4" name="DD-Datenbank">
    <vt:lpwstr>datenspuren</vt:lpwstr>
  </property>
  <property fmtid="{D5CDD505-2E9C-101B-9397-08002B2CF9AE}" pid="5" name="DD-Fassung">
    <vt:lpwstr>lehrkraft</vt:lpwstr>
  </property>
  <property fmtid="{D5CDD505-2E9C-101B-9397-08002B2CF9AE}" pid="6" name="DD-Kuer">
    <vt:lpwstr>nein</vt:lpwstr>
  </property>
  <property fmtid="{D5CDD505-2E9C-101B-9397-08002B2CF9AE}" pid="7" name="DD-Material">
    <vt:lpwstr>Lehrerhinweise A6</vt:lpwstr>
  </property>
</Properties>
</file>