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6 · ERMITTLUNG 6.1 · DS 12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Das Phantom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Datenschutz, Quasi-Identifikatoren, Datenschutz und Datensicherheit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502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50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Die Stadt hat der Detektei „anonymisierte“ Exporte aus StadtRad, Stadtfest, Verein und WeserApp übergeben – dazu einen Auszug aus dem Einwohnerverzeichnis. Edda Lorenz: „Wenn das Phantom darin steckt, finden wir es. Die Frage ist nur: Dürfen wir das?“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Informationelle Selbstbestimmung und DSGVO-Grundsätze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Informationelle Selbstbestimmung:</w:t>
            </w:r>
            <w:r>
              <w:t xml:space="preserve"> Jede Person entscheidet grundsätzlich selbst über Preisgabe und Verwendung ihrer persönlichen Daten. Die Datenschutz-Grundverordnung (DSGVO) macht daraus Grundsätze: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1927"/>
              <w:gridCol w:w="3515"/>
              <w:gridCol w:w="3969"/>
            </w:tblGrid>
            <w:tr>
              <w:trPr>
                <w:tblHeader/>
              </w:trPr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Grundsatz</w:t>
                  </w:r>
                </w:p>
              </w:tc>
              <w:tc>
                <w:tcPr>
                  <w:tcW w:type="dxa" w:w="351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Bedeutung</w:t>
                  </w:r>
                </w:p>
              </w:tc>
              <w:tc>
                <w:tcPr>
                  <w:tcW w:type="dxa" w:w="396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Beispiel aus Weserstedt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Rechtmäßigkeit</w:t>
                  </w:r>
                  <w:r>
                    <w:rPr>
                      <w:sz w:val="17"/>
                    </w:rPr>
                    <w:t xml:space="preserve"> (Einwilligung)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Jede Verarbeitung braucht eine Rechtsgrundlage, z. B. eine freiwillige, informierte, widerrufbare Einwilligung.</w:t>
                  </w:r>
                </w:p>
              </w:tc>
              <w:tc>
                <w:tcPr>
                  <w:tcW w:type="dxa" w:w="396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StadtRad darf Fahrten für die Abrechnung speichern (Vertrag) – nicht für eine Fahndung.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Zweckbindung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Daten nur für den Zweck nutzen, für den sie erhoben wurden.</w:t>
                  </w:r>
                </w:p>
              </w:tc>
              <w:tc>
                <w:tcPr>
                  <w:tcW w:type="dxa" w:w="396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Vereinsdaten mit Fest- und Raddaten zusammenführen ist ein neuer Zweck.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Datenminimierung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Nur so viele Daten wie nötig.</w:t>
                  </w:r>
                </w:p>
              </w:tc>
              <w:tc>
                <w:tcPr>
                  <w:tcW w:type="dxa" w:w="396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Jahrgang und Tarif sind für eine Ausleihstatistik nicht nötig.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Transparenz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Betroffene wissen, wer was wozu verarbeitet.</w:t>
                  </w:r>
                </w:p>
              </w:tc>
              <w:tc>
                <w:tcPr>
                  <w:tcW w:type="dxa" w:w="396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Niemand wusste von der Weitergabe an die Detektei.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Speicherbegrenzung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Löschen, sobald der Zweck erfüllt ist.</w:t>
                  </w:r>
                </w:p>
              </w:tc>
              <w:tc>
                <w:tcPr>
                  <w:tcW w:type="dxa" w:w="396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Check-ins aus vielen Monaten statt Löschung nach dem Check-in.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besondere Kategorien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Gesundheits-, Religions-, biometrische Daten u. a. sind besonders geschützt.</w:t>
                  </w:r>
                </w:p>
              </w:tc>
              <w:tc>
                <w:tcPr>
                  <w:tcW w:type="dxa" w:w="396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Puls- und Schrittdaten einer Fitness-App.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Personenbezogen – pseudonym – anonym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personenbezogen:</w:t>
            </w:r>
            <w:r>
              <w:t xml:space="preserve"> Die Person ist bestimmt oder bestimmbar (Name, Adresse, Kundennummer …).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pseudonym:</w:t>
            </w:r>
            <w:r>
              <w:t xml:space="preserve"> Ein Kennzeichen ersetzt den Namen (</w:t>
            </w:r>
            <w:r>
              <w:rPr>
                <w:rFonts w:ascii="IBM Plex Mono" w:hAnsi="IBM Plex Mono" w:eastAsia="IBM Plex Mono" w:cs="IBM Plex Mono"/>
                <w:sz w:val="19"/>
              </w:rPr>
              <w:t>R-21C4</w:t>
            </w:r>
            <w:r>
              <w:t xml:space="preserve">, </w:t>
            </w:r>
            <w:r>
              <w:rPr>
                <w:rFonts w:ascii="IBM Plex Mono" w:hAnsi="IBM Plex Mono" w:eastAsia="IBM Plex Mono" w:cs="IBM Plex Mono"/>
                <w:sz w:val="19"/>
              </w:rPr>
              <w:t>WA-1288</w:t>
            </w:r>
            <w:r>
              <w:t xml:space="preserve">). Mit Zusatzwissen lässt sich die Person bestimmen – die Daten </w:t>
            </w:r>
            <w:r>
              <w:rPr>
                <w:b/>
              </w:rPr>
              <w:t>bleiben personenbezogen</w:t>
            </w:r>
            <w:r>
              <w:t>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anonym:</w:t>
            </w:r>
            <w:r>
              <w:t xml:space="preserve"> Keine Person ist mehr bestimmbar, z. B. eine Summe je Stadtteil über viele Menschen.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Quasi-Identifikatoren</w:t>
            </w:r>
            <w:r>
              <w:t xml:space="preserve"> wie Jahrgang, Stadtteil, Tarif oder Zeitmuster sind einzeln harmlos – zusammen bilden sie </w:t>
            </w:r>
            <w:r>
              <w:rPr>
                <w:b/>
              </w:rPr>
              <w:t>kleine Gruppen</w:t>
            </w:r>
            <w:r>
              <w:t>, oft mit nur einer Person (</w:t>
            </w:r>
            <w:r>
              <w:rPr>
                <w:b/>
              </w:rPr>
              <w:t>Re-Identifizierung</w:t>
            </w:r>
            <w:r>
              <w:t>).</w:t>
            </w:r>
          </w:p>
          <w:p>
            <w:pPr>
              <w:pStyle w:val="DDTabellentext"/>
              <w:spacing w:after="60"/>
            </w:pPr>
            <w:r>
              <w:t>Wie klein werden die Gruppen? Alle Einwohner mit Jahrgang 1988:</w:t>
            </w:r>
          </w:p>
          <w:p>
            <w:pPr>
              <w:pStyle w:val="SQL-Code"/>
            </w:pPr>
            <w:r>
              <w:t>SELECT Stadtteil, COUNT(*) AS Einwohner</w:t>
              <w:br/>
              <w:t>FROM Einwohner</w:t>
              <w:br/>
              <w:t>WHERE Jahrgang = 1988</w:t>
              <w:br/>
              <w:t>GROUP BY Stadtteil;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3061" w:type="dxa"/>
            </w:tblPr>
            <w:tblGrid>
              <w:gridCol w:w="1701"/>
              <w:gridCol w:w="1360"/>
            </w:tblGrid>
            <w:tr>
              <w:trPr>
                <w:tblHeader/>
              </w:trPr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Stadtteil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Einwohner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Hafenviertel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Mühlenfeld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Wer weiß, dass eine Person 1988 geboren ist und in Mühlenfeld wohnt, kennt sie – ohne Namen.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Datenschutz und Datensicherheit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1134"/>
              <w:gridCol w:w="4082"/>
              <w:gridCol w:w="4195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408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Datenschutz</w:t>
                  </w:r>
                </w:p>
              </w:tc>
              <w:tc>
                <w:tcPr>
                  <w:tcW w:type="dxa" w:w="419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Datensicherheit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schützt …</w:t>
                  </w:r>
                </w:p>
              </w:tc>
              <w:tc>
                <w:tcPr>
                  <w:tcW w:type="dxa" w:w="408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Personen</w:t>
                  </w:r>
                  <w:r>
                    <w:rPr>
                      <w:sz w:val="17"/>
                    </w:rPr>
                    <w:t xml:space="preserve"> und ihr Recht auf informationelle Selbstbestimmung</w:t>
                  </w:r>
                </w:p>
              </w:tc>
              <w:tc>
                <w:tcPr>
                  <w:tcW w:type="dxa" w:w="419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 xml:space="preserve">die </w:t>
                  </w:r>
                  <w:r>
                    <w:rPr>
                      <w:b/>
                      <w:sz w:val="17"/>
                    </w:rPr>
                    <w:t>Daten</w:t>
                  </w:r>
                  <w:r>
                    <w:rPr>
                      <w:sz w:val="17"/>
                    </w:rPr>
                    <w:t xml:space="preserve"> selbst: Vertraulichkeit, Integrität (unverfälscht), Verfügbarkeit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fragt …</w:t>
                  </w:r>
                </w:p>
              </w:tc>
              <w:tc>
                <w:tcPr>
                  <w:tcW w:type="dxa" w:w="408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i/>
                      <w:sz w:val="17"/>
                    </w:rPr>
                    <w:t>Dürfen</w:t>
                  </w:r>
                  <w:r>
                    <w:rPr>
                      <w:sz w:val="17"/>
                    </w:rPr>
                    <w:t xml:space="preserve"> diese Daten überhaupt so verarbeitet werden?</w:t>
                  </w:r>
                </w:p>
              </w:tc>
              <w:tc>
                <w:tcPr>
                  <w:tcW w:type="dxa" w:w="419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 xml:space="preserve">Sind die Daten vor Verlust, Manipulation und unbefugtem Zugriff </w:t>
                  </w:r>
                  <w:r>
                    <w:rPr>
                      <w:i/>
                      <w:sz w:val="17"/>
                    </w:rPr>
                    <w:t>sicher</w:t>
                  </w:r>
                  <w:r>
                    <w:rPr>
                      <w:sz w:val="17"/>
                    </w:rPr>
                    <w:t>?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Beispiele</w:t>
                  </w:r>
                </w:p>
              </w:tc>
              <w:tc>
                <w:tcPr>
                  <w:tcW w:type="dxa" w:w="408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Zweckbindung, Einwilligung, Datenminimierung, Löschfristen</w:t>
                  </w:r>
                </w:p>
              </w:tc>
              <w:tc>
                <w:tcPr>
                  <w:tcW w:type="dxa" w:w="419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Verschlüsselung, Zugriffsrechte, Passwörter, Protokolle, Backups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Beides hängt zusammen: Ein nie gesperrter Zugang (Datensicherheit) ermöglichte die Manipulation des Fundbuchs – und verletzt damit auch den Schutz der Personen darin.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Technische und organisatorische Maßnahmen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2948"/>
              <w:gridCol w:w="6463"/>
            </w:tblGrid>
            <w:tr>
              <w:trPr>
                <w:tblHeader/>
              </w:trPr>
              <w:tc>
                <w:tcPr>
                  <w:tcW w:type="dxa" w:w="294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Maßnahme</w:t>
                  </w:r>
                </w:p>
              </w:tc>
              <w:tc>
                <w:tcPr>
                  <w:tcW w:type="dxa" w:w="6463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So wirkt sie</w:t>
                  </w:r>
                </w:p>
              </w:tc>
            </w:tr>
            <w:tr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Aggregation</w:t>
                  </w:r>
                </w:p>
              </w:tc>
              <w:tc>
                <w:tcPr>
                  <w:tcW w:type="dxa" w:w="646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nur Summen veröffentlichen (Ausleihen je Station und Stunde) statt einzelner Fahrten</w:t>
                  </w:r>
                </w:p>
              </w:tc>
            </w:tr>
            <w:tr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Mindestgruppengröße / Vergröberung</w:t>
                  </w:r>
                </w:p>
              </w:tc>
              <w:tc>
                <w:tcPr>
                  <w:tcW w:type="dxa" w:w="646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keine Gruppen unter z. B. 5 Personen; Jahrzehnt statt Jahrgang, Stadtteil statt Adresse</w:t>
                  </w:r>
                </w:p>
              </w:tc>
            </w:tr>
            <w:tr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Pseudonymisierung</w:t>
                  </w:r>
                  <w:r>
                    <w:rPr>
                      <w:sz w:val="17"/>
                    </w:rPr>
                    <w:t xml:space="preserve"> mit wechselnden Kennzeichen</w:t>
                  </w:r>
                </w:p>
              </w:tc>
              <w:tc>
                <w:tcPr>
                  <w:tcW w:type="dxa" w:w="646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Zuordnungstabelle getrennt und geschützt; neues Token je Export</w:t>
                  </w:r>
                </w:p>
              </w:tc>
            </w:tr>
            <w:tr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Zugriffsrechte, Verschlüsselung</w:t>
                  </w:r>
                </w:p>
              </w:tc>
              <w:tc>
                <w:tcPr>
                  <w:tcW w:type="dxa" w:w="646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nur Berechtigte sehen die Daten; alte Zugänge sperren</w:t>
                  </w:r>
                </w:p>
              </w:tc>
            </w:tr>
            <w:tr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Löschfristen</w:t>
                  </w:r>
                </w:p>
              </w:tc>
              <w:tc>
                <w:tcPr>
                  <w:tcW w:type="dxa" w:w="646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Check-ins nach z. B. 7 Tagen löschen (Speicherbegrenzung)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5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Chancen und Risiken automatisierter Datenanalyse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Chancen:</w:t>
            </w:r>
            <w:r>
              <w:t xml:space="preserve"> Verkehrsplanung (wo fehlen Räder?), Betrug und Manipulation aufdecken, Muster erkennen, die kein Mensch in Tabellen sähe.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Risiken:</w:t>
            </w:r>
            <w:r>
              <w:t xml:space="preserve"> </w:t>
            </w:r>
            <w:r>
              <w:rPr>
                <w:b/>
              </w:rPr>
              <w:t>Profilbildung</w:t>
            </w:r>
            <w:r>
              <w:t xml:space="preserve"> (Bewegungs- und Freizeitmuster, Wohnadresse aus Standortdaten), Unbeteiligte geraten unter Verdacht, Daten werden für neue Zwecke missbraucht.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Ordne jeder Situation den Grundsatz zu, der verletzt wird (Beweisstück 1).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030" w:type="dxa"/>
            </w:tblPr>
            <w:tblGrid>
              <w:gridCol w:w="5103"/>
              <w:gridCol w:w="1927"/>
            </w:tblGrid>
            <w:tr>
              <w:trPr>
                <w:tblHeader/>
              </w:trPr>
              <w:tc>
                <w:tcPr>
                  <w:tcW w:type="dxa" w:w="510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Situation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verletzter Grundsatz</w:t>
                  </w:r>
                </w:p>
              </w:tc>
            </w:tr>
            <w:tr>
              <w:tc>
                <w:tcPr>
                  <w:tcW w:type="dxa" w:w="510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a) Der TuS-Export enthält Geburtsjahr und Stadtteil jedes Mitglieds, obwohl die Stadt nur wissen wollte, wie groß die Abteilungen sind.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510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b) Die Kartenzahlungen vom Stadtfest dienten der Abrechnung der Stände – jetzt prüft die Detektei damit Alibis.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510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c) In den Hinweisen der WeserApp steht nirgends, dass sie nachts die nächstgelegene Adresse speichert.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510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d) Im Fundbuch stehen noch Name und Telefonnummer von Personen, die 2019 Fundsachen abgeholt haben.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510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e) Die Stadt gibt das Einwohnerverzeichnis an eine private Detektei – ohne Einwilligung und ohne Gesetz, das es erlaubt.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a) </w:t>
                  </w:r>
                  <w:r>
                    <w:rPr>
                      <w:b/>
                    </w:rPr>
                    <w:t>Datenminimierung</w:t>
                  </w:r>
                  <w:r>
                    <w:t xml:space="preserve"> · b) </w:t>
                  </w:r>
                  <w:r>
                    <w:rPr>
                      <w:b/>
                    </w:rPr>
                    <w:t>Zweckbindung</w:t>
                  </w:r>
                  <w:r>
                    <w:t xml:space="preserve"> · c) </w:t>
                  </w:r>
                  <w:r>
                    <w:rPr>
                      <w:b/>
                    </w:rPr>
                    <w:t>Transparenz</w:t>
                  </w:r>
                  <w:r>
                    <w:t xml:space="preserve"> · d) </w:t>
                  </w:r>
                  <w:r>
                    <w:rPr>
                      <w:b/>
                    </w:rPr>
                    <w:t>Speicherbegrenzung</w:t>
                  </w:r>
                  <w:r>
                    <w:t xml:space="preserve"> · e) </w:t>
                  </w:r>
                  <w:r>
                    <w:rPr>
                      <w:b/>
                    </w:rPr>
                    <w:t>Rechtmäßigkeit</w:t>
                  </w:r>
                  <w:r>
                    <w:t xml:space="preserve"> (keine Rechtsgrundlage, keine Einwilligung).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Auch vertretbar: b) zusätzlich Rechtmäßigkeit, c) zusätzlich Datenminimierung – wenn begründet.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Grundsatz nur genannt, wo eine Begründung verlangt ist.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Zweckbindung und Rechtmäßigkeit verwechselt: Auch eine erlaubte Erhebung erlaubt keinen neuen Zweck.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Erläutere</w:t>
            </w:r>
            <w:r>
              <w:t xml:space="preserve"> an den Ausschnitten, warum die Pseudonymisierung der Exporte die Personen nicht anonym macht. Gehe auf Quasi-Identifikatoren und die Gruppengröße ein.</w:t>
            </w:r>
          </w:p>
          <w:p>
            <w:pPr>
              <w:pStyle w:val="DDTabellentext"/>
              <w:spacing w:after="60"/>
            </w:pPr>
            <w:r>
              <w:t>RadExport (alle Fahrten des Tokens R-D3A1):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030" w:type="dxa"/>
            </w:tblPr>
            <w:tblGrid>
              <w:gridCol w:w="1304"/>
              <w:gridCol w:w="1020"/>
              <w:gridCol w:w="1077"/>
              <w:gridCol w:w="623"/>
              <w:gridCol w:w="1474"/>
              <w:gridCol w:w="1530"/>
            </w:tblGrid>
            <w:tr>
              <w:trPr>
                <w:tblHeader/>
              </w:trPr>
              <w:tc>
                <w:tcPr>
                  <w:tcW w:type="dxa" w:w="130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KundenToken</w:t>
                  </w:r>
                </w:p>
              </w:tc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Jahrgang</w:t>
                  </w:r>
                </w:p>
              </w:tc>
              <w:tc>
                <w:tcPr>
                  <w:tcW w:type="dxa" w:w="107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Stadtteil</w:t>
                  </w:r>
                </w:p>
              </w:tc>
              <w:tc>
                <w:tcPr>
                  <w:tcW w:type="dxa" w:w="62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Tarif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StartStation</w:t>
                  </w:r>
                </w:p>
              </w:tc>
              <w:tc>
                <w:tcPr>
                  <w:tcW w:type="dxa" w:w="153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Start</w:t>
                  </w:r>
                </w:p>
              </w:tc>
            </w:tr>
            <w:tr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R-D3A1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1976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Altstadt</w:t>
                  </w:r>
                </w:p>
              </w:tc>
              <w:tc>
                <w:tcPr>
                  <w:tcW w:type="dxa" w:w="62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Plus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Fischmarkt</w:t>
                  </w:r>
                </w:p>
              </w:tc>
              <w:tc>
                <w:tcPr>
                  <w:tcW w:type="dxa" w:w="153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2026-09-18 10:53</w:t>
                  </w:r>
                </w:p>
              </w:tc>
            </w:tr>
            <w:tr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R-D3A1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1976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Altstadt</w:t>
                  </w:r>
                </w:p>
              </w:tc>
              <w:tc>
                <w:tcPr>
                  <w:tcW w:type="dxa" w:w="62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Plus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Rathaus</w:t>
                  </w:r>
                </w:p>
              </w:tc>
              <w:tc>
                <w:tcPr>
                  <w:tcW w:type="dxa" w:w="153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2026-09-20 17:42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VereinExport (Ausschnitt):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5329" w:type="dxa"/>
            </w:tblPr>
            <w:tblGrid>
              <w:gridCol w:w="1474"/>
              <w:gridCol w:w="1360"/>
              <w:gridCol w:w="1247"/>
              <w:gridCol w:w="1247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MitgliedToken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Geburtsjahr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Abteilung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Stadtteil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V-5245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1976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Tennis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Altstadt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Einwohnerverzeichnis:</w:t>
            </w:r>
          </w:p>
          <w:p>
            <w:pPr>
              <w:pStyle w:val="SQL-Code"/>
            </w:pPr>
            <w:r>
              <w:t>SELECT COUNT(*) AS Personen</w:t>
              <w:br/>
              <w:t>FROM Einwohner</w:t>
              <w:br/>
              <w:t>WHERE Jahrgang = 1976</w:t>
              <w:br/>
              <w:t xml:space="preserve">  AND Stadtteil = 'Altstadt';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1247" w:type="dxa"/>
            </w:tblPr>
            <w:tblGrid>
              <w:gridCol w:w="1247"/>
            </w:tblGrid>
            <w:tr>
              <w:trPr>
                <w:tblHeader/>
              </w:trPr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Personen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Die Tokens R-D3A1 und V-5245 ersetzen nur den Namen. Jahrgang/Geburtsjahr (1976) und Stadtteil (Altstadt) sind </w:t>
                  </w:r>
                  <w:r>
                    <w:rPr>
                      <w:b/>
                    </w:rPr>
                    <w:t>Quasi-Identifikatoren</w:t>
                  </w:r>
                  <w:r>
                    <w:t xml:space="preserve">: Im Einwohnerverzeichnis gibt es nur </w:t>
                  </w:r>
                  <w:r>
                    <w:rPr>
                      <w:b/>
                    </w:rPr>
                    <w:t>zwei</w:t>
                  </w:r>
                  <w:r>
                    <w:t xml:space="preserve"> Personen mit dieser Kombination. Über die gleichen Werte lassen sich RadExport und VereinExport verknüpfen – wahrscheinlich dieselbe Person, die Tennis spielt und den Tarif Plus nutzt. Mit Zusatzwissen (z. B. „meine Nachbarin spielt Tennis“) ist sie eindeutig bestimmt. Pseudonyme Daten bleiben deshalb </w:t>
                  </w:r>
                  <w:r>
                    <w:rPr>
                      <w:b/>
                    </w:rPr>
                    <w:t>personenbezogen</w:t>
                  </w:r>
                  <w:r>
                    <w:t>; anonym wären erst Summen über große Gruppen.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„Es steht kein Name drin, also anonym.“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Aus dem gemeinsamen Jahrgang sicher auf dieselbe Person schließen – zwei Personen kommen infrage; die Verknüpfung liefert Kandidaten, keinen Beweis.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Ermittle im </w:t>
            </w:r>
            <w:r>
              <w:rPr>
                <w:b/>
              </w:rPr>
              <w:t>Schlussplädoyer</w:t>
            </w:r>
            <w:r>
              <w:t xml:space="preserve"> (A6-E1-09 … 14) Schritt für Schritt und halte jedes Indiz fest.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030" w:type="dxa"/>
            </w:tblPr>
            <w:tblGrid>
              <w:gridCol w:w="850"/>
              <w:gridCol w:w="3005"/>
              <w:gridCol w:w="3175"/>
            </w:tblGrid>
            <w:tr>
              <w:trPr>
                <w:tblHeader/>
              </w:trPr>
              <w:tc>
                <w:tcPr>
                  <w:tcW w:type="dxa" w:w="85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Spur</w:t>
                  </w:r>
                </w:p>
              </w:tc>
              <w:tc>
                <w:tcPr>
                  <w:tcW w:type="dxa" w:w="300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Frage</w:t>
                  </w:r>
                </w:p>
              </w:tc>
              <w:tc>
                <w:tcPr>
                  <w:tcW w:type="dxa" w:w="317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Indiz (dein Ergebnis)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Spur 1</w:t>
                  </w:r>
                </w:p>
              </w:tc>
              <w:tc>
                <w:tcPr>
                  <w:tcW w:type="dxa" w:w="300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Welche Fahrten begannen vom 08.09. bis 12.09. an der Hafenkante?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Spur 2</w:t>
                  </w:r>
                </w:p>
              </w:tc>
              <w:tc>
                <w:tcPr>
                  <w:tcW w:type="dxa" w:w="300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Wie viele verschiedene Tokens haben 1988 + Hafenviertel + Plus?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Spur 3</w:t>
                  </w:r>
                </w:p>
              </w:tc>
              <w:tc>
                <w:tcPr>
                  <w:tcW w:type="dxa" w:w="300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Welches Gerät war zur selben Zeit am selben Ort?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Spur 4</w:t>
                  </w:r>
                </w:p>
              </w:tc>
              <w:tc>
                <w:tcPr>
                  <w:tcW w:type="dxa" w:w="300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Wo hat das Gerät sonst eingecheckt?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Spur 5</w:t>
                  </w:r>
                </w:p>
              </w:tc>
              <w:tc>
                <w:tcPr>
                  <w:tcW w:type="dxa" w:w="300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Welches Vereinsmitglied hat dieselben Merkmale?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Spur 6</w:t>
                  </w:r>
                </w:p>
              </w:tc>
              <w:tc>
                <w:tcPr>
                  <w:tcW w:type="dxa" w:w="300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Wer wohnt an der Adresse, an der das Gerät nachts eincheckt?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A6-E1-09 · Spur 1: Fünf Nächte an der Hafenkante</w:t>
                  </w:r>
                </w:p>
                <w:p>
                  <w:pPr>
                    <w:pStyle w:val="SQL-Code"/>
                  </w:pPr>
                  <w:r>
                    <w:t>SELECT KundenToken, Start, Jahrgang, Stadtteil, Tarif</w:t>
                    <w:br/>
                    <w:t>FROM RadExport</w:t>
                    <w:br/>
                    <w:t>WHERE StartStation = 'Hafenkante'</w:t>
                    <w:br/>
                    <w:t xml:space="preserve">  AND Start BETWEEN '2026-09-08 00:00'</w:t>
                    <w:br/>
                    <w:t xml:space="preserve">                AND '2026-09-12 23:59'</w:t>
                    <w:br/>
                    <w:t>ORDER BY Start;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6123" w:type="dxa"/>
                  </w:tblPr>
                  <w:tblGrid>
                    <w:gridCol w:w="1279"/>
                    <w:gridCol w:w="1736"/>
                    <w:gridCol w:w="1005"/>
                    <w:gridCol w:w="1371"/>
                    <w:gridCol w:w="731"/>
                  </w:tblGrid>
                  <w:tr>
                    <w:trPr>
                      <w:tblHeader/>
                    </w:trPr>
                    <w:tc>
                      <w:tcPr>
                        <w:tcW w:type="dxa" w:w="1279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KundenToken</w:t>
                        </w:r>
                      </w:p>
                    </w:tc>
                    <w:tc>
                      <w:tcPr>
                        <w:tcW w:type="dxa" w:w="1736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Start</w:t>
                        </w:r>
                      </w:p>
                    </w:tc>
                    <w:tc>
                      <w:tcPr>
                        <w:tcW w:type="dxa" w:w="1005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Jahrgang</w:t>
                        </w:r>
                      </w:p>
                    </w:tc>
                    <w:tc>
                      <w:tcPr>
                        <w:tcW w:type="dxa" w:w="137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Stadtteil</w:t>
                        </w:r>
                      </w:p>
                    </w:tc>
                    <w:tc>
                      <w:tcPr>
                        <w:tcW w:type="dxa" w:w="73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Tarif</w:t>
                        </w:r>
                      </w:p>
                    </w:tc>
                  </w:tr>
                  <w:tr>
                    <w:tc>
                      <w:tcPr>
                        <w:tcW w:type="dxa" w:w="12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R-7F3A</w:t>
                        </w:r>
                      </w:p>
                    </w:tc>
                    <w:tc>
                      <w:tcPr>
                        <w:tcW w:type="dxa" w:w="1736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2026-09-08 01:14</w:t>
                        </w:r>
                      </w:p>
                    </w:tc>
                    <w:tc>
                      <w:tcPr>
                        <w:tcW w:type="dxa" w:w="1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1988</w:t>
                        </w:r>
                      </w:p>
                    </w:tc>
                    <w:tc>
                      <w:tcPr>
                        <w:tcW w:type="dxa" w:w="137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Hafenviertel</w:t>
                        </w:r>
                      </w:p>
                    </w:tc>
                    <w:tc>
                      <w:tcPr>
                        <w:tcW w:type="dxa" w:w="73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Plus</w:t>
                        </w:r>
                      </w:p>
                    </w:tc>
                  </w:tr>
                  <w:tr>
                    <w:tc>
                      <w:tcPr>
                        <w:tcW w:type="dxa" w:w="12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R-7F3A</w:t>
                        </w:r>
                      </w:p>
                    </w:tc>
                    <w:tc>
                      <w:tcPr>
                        <w:tcW w:type="dxa" w:w="1736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2026-09-09 01:32</w:t>
                        </w:r>
                      </w:p>
                    </w:tc>
                    <w:tc>
                      <w:tcPr>
                        <w:tcW w:type="dxa" w:w="1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1988</w:t>
                        </w:r>
                      </w:p>
                    </w:tc>
                    <w:tc>
                      <w:tcPr>
                        <w:tcW w:type="dxa" w:w="137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Hafenviertel</w:t>
                        </w:r>
                      </w:p>
                    </w:tc>
                    <w:tc>
                      <w:tcPr>
                        <w:tcW w:type="dxa" w:w="73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Plus</w:t>
                        </w:r>
                      </w:p>
                    </w:tc>
                  </w:tr>
                  <w:tr>
                    <w:tc>
                      <w:tcPr>
                        <w:tcW w:type="dxa" w:w="12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R-C509</w:t>
                        </w:r>
                      </w:p>
                    </w:tc>
                    <w:tc>
                      <w:tcPr>
                        <w:tcW w:type="dxa" w:w="1736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2026-09-09 10:02</w:t>
                        </w:r>
                      </w:p>
                    </w:tc>
                    <w:tc>
                      <w:tcPr>
                        <w:tcW w:type="dxa" w:w="1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1995</w:t>
                        </w:r>
                      </w:p>
                    </w:tc>
                    <w:tc>
                      <w:tcPr>
                        <w:tcW w:type="dxa" w:w="137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Altstadt</w:t>
                        </w:r>
                      </w:p>
                    </w:tc>
                    <w:tc>
                      <w:tcPr>
                        <w:tcW w:type="dxa" w:w="73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Basis</w:t>
                        </w:r>
                      </w:p>
                    </w:tc>
                  </w:tr>
                  <w:tr>
                    <w:tc>
                      <w:tcPr>
                        <w:tcW w:type="dxa" w:w="12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R-7F3A</w:t>
                        </w:r>
                      </w:p>
                    </w:tc>
                    <w:tc>
                      <w:tcPr>
                        <w:tcW w:type="dxa" w:w="1736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2026-09-10 01:05</w:t>
                        </w:r>
                      </w:p>
                    </w:tc>
                    <w:tc>
                      <w:tcPr>
                        <w:tcW w:type="dxa" w:w="1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1988</w:t>
                        </w:r>
                      </w:p>
                    </w:tc>
                    <w:tc>
                      <w:tcPr>
                        <w:tcW w:type="dxa" w:w="137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Hafenviertel</w:t>
                        </w:r>
                      </w:p>
                    </w:tc>
                    <w:tc>
                      <w:tcPr>
                        <w:tcW w:type="dxa" w:w="73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Plus</w:t>
                        </w:r>
                      </w:p>
                    </w:tc>
                  </w:tr>
                  <w:tr>
                    <w:tc>
                      <w:tcPr>
                        <w:tcW w:type="dxa" w:w="12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R-21C4</w:t>
                        </w:r>
                      </w:p>
                    </w:tc>
                    <w:tc>
                      <w:tcPr>
                        <w:tcW w:type="dxa" w:w="1736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2026-09-10 07:55</w:t>
                        </w:r>
                      </w:p>
                    </w:tc>
                    <w:tc>
                      <w:tcPr>
                        <w:tcW w:type="dxa" w:w="1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1988</w:t>
                        </w:r>
                      </w:p>
                    </w:tc>
                    <w:tc>
                      <w:tcPr>
                        <w:tcW w:type="dxa" w:w="137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Hafenviertel</w:t>
                        </w:r>
                      </w:p>
                    </w:tc>
                    <w:tc>
                      <w:tcPr>
                        <w:tcW w:type="dxa" w:w="73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Basis</w:t>
                        </w:r>
                      </w:p>
                    </w:tc>
                  </w:tr>
                  <w:tr>
                    <w:tc>
                      <w:tcPr>
                        <w:tcW w:type="dxa" w:w="12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R-7F3A</w:t>
                        </w:r>
                      </w:p>
                    </w:tc>
                    <w:tc>
                      <w:tcPr>
                        <w:tcW w:type="dxa" w:w="1736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2026-09-11 01:48</w:t>
                        </w:r>
                      </w:p>
                    </w:tc>
                    <w:tc>
                      <w:tcPr>
                        <w:tcW w:type="dxa" w:w="1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1988</w:t>
                        </w:r>
                      </w:p>
                    </w:tc>
                    <w:tc>
                      <w:tcPr>
                        <w:tcW w:type="dxa" w:w="137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Hafenviertel</w:t>
                        </w:r>
                      </w:p>
                    </w:tc>
                    <w:tc>
                      <w:tcPr>
                        <w:tcW w:type="dxa" w:w="73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Plus</w:t>
                        </w:r>
                      </w:p>
                    </w:tc>
                  </w:tr>
                  <w:tr>
                    <w:tc>
                      <w:tcPr>
                        <w:tcW w:type="dxa" w:w="12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R-6A92</w:t>
                        </w:r>
                      </w:p>
                    </w:tc>
                    <w:tc>
                      <w:tcPr>
                        <w:tcW w:type="dxa" w:w="1736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2026-09-11 20:04</w:t>
                        </w:r>
                      </w:p>
                    </w:tc>
                    <w:tc>
                      <w:tcPr>
                        <w:tcW w:type="dxa" w:w="1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1982</w:t>
                        </w:r>
                      </w:p>
                    </w:tc>
                    <w:tc>
                      <w:tcPr>
                        <w:tcW w:type="dxa" w:w="137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Mühlenfeld</w:t>
                        </w:r>
                      </w:p>
                    </w:tc>
                    <w:tc>
                      <w:tcPr>
                        <w:tcW w:type="dxa" w:w="73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Basis</w:t>
                        </w:r>
                      </w:p>
                    </w:tc>
                  </w:tr>
                  <w:tr>
                    <w:tc>
                      <w:tcPr>
                        <w:tcW w:type="dxa" w:w="12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R-7F3A</w:t>
                        </w:r>
                      </w:p>
                    </w:tc>
                    <w:tc>
                      <w:tcPr>
                        <w:tcW w:type="dxa" w:w="1736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2026-09-12 01:21</w:t>
                        </w:r>
                      </w:p>
                    </w:tc>
                    <w:tc>
                      <w:tcPr>
                        <w:tcW w:type="dxa" w:w="1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1988</w:t>
                        </w:r>
                      </w:p>
                    </w:tc>
                    <w:tc>
                      <w:tcPr>
                        <w:tcW w:type="dxa" w:w="137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Hafenviertel</w:t>
                        </w:r>
                      </w:p>
                    </w:tc>
                    <w:tc>
                      <w:tcPr>
                        <w:tcW w:type="dxa" w:w="73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Plus</w:t>
                        </w:r>
                      </w:p>
                    </w:tc>
                  </w:tr>
                  <w:tr>
                    <w:tc>
                      <w:tcPr>
                        <w:tcW w:type="dxa" w:w="1279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R-11F9</w:t>
                        </w:r>
                      </w:p>
                    </w:tc>
                    <w:tc>
                      <w:tcPr>
                        <w:tcW w:type="dxa" w:w="1736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2026-09-12 11:28</w:t>
                        </w:r>
                      </w:p>
                    </w:tc>
                    <w:tc>
                      <w:tcPr>
                        <w:tcW w:type="dxa" w:w="1005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1982</w:t>
                        </w:r>
                      </w:p>
                    </w:tc>
                    <w:tc>
                      <w:tcPr>
                        <w:tcW w:type="dxa" w:w="137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Weserufer</w:t>
                        </w:r>
                      </w:p>
                    </w:tc>
                    <w:tc>
                      <w:tcPr>
                        <w:tcW w:type="dxa" w:w="73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Basis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Neun Fahrten, davon fünf </w:t>
                  </w:r>
                  <w:r>
                    <w:rPr>
                      <w:b/>
                    </w:rPr>
                    <w:t>nachts (01–02 Uhr)</w:t>
                  </w:r>
                  <w:r>
                    <w:t xml:space="preserve"> – alle unter </w:t>
                  </w:r>
                  <w:r>
                    <w:rPr>
                      <w:b/>
                    </w:rPr>
                    <w:t>R-7F3A</w:t>
                  </w:r>
                  <w:r>
                    <w:t xml:space="preserve"> (1988, Hafenviertel, Plus); die übrigen vier sind Tagesfahrten verschiedener Tokens.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A6-E1-10 · Spur 2: Wie viele teilen diese Merkmale?</w:t>
                  </w:r>
                </w:p>
                <w:p>
                  <w:pPr>
                    <w:pStyle w:val="SQL-Code"/>
                  </w:pPr>
                  <w:r>
                    <w:t>SELECT DISTINCT KundenToken</w:t>
                    <w:br/>
                    <w:t>FROM RadExport</w:t>
                    <w:br/>
                    <w:t>WHERE Jahrgang = 1988</w:t>
                    <w:br/>
                    <w:t xml:space="preserve">  AND Stadtteil = 'Hafenviertel'</w:t>
                    <w:br/>
                    <w:t xml:space="preserve">  AND Tarif = 'Plus';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1587" w:type="dxa"/>
                  </w:tblPr>
                  <w:tblGrid>
                    <w:gridCol w:w="1587"/>
                  </w:tblGrid>
                  <w:tr>
                    <w:trPr>
                      <w:tblHeader/>
                    </w:trPr>
                    <w:tc>
                      <w:tcPr>
                        <w:tcW w:type="dxa" w:w="158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KundenToken</w:t>
                        </w:r>
                      </w:p>
                    </w:tc>
                  </w:tr>
                  <w:tr>
                    <w:tc>
                      <w:tcPr>
                        <w:tcW w:type="dxa" w:w="158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R-7F3A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Nur </w:t>
                  </w:r>
                  <w:r>
                    <w:rPr>
                      <w:b/>
                    </w:rPr>
                    <w:t>ein</w:t>
                  </w:r>
                  <w:r>
                    <w:t xml:space="preserve"> Token: Drei harmlose Angaben wirken wie ein Name. (COUNT(*) je Merkmalsgruppe zählte Fahrten, nicht Menschen – P4.)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A6-E1-11 · Spur 3: Das Handy fährt mit</w:t>
                  </w:r>
                </w:p>
                <w:p>
                  <w:pPr>
                    <w:pStyle w:val="SQL-Code"/>
                  </w:pPr>
                  <w:r>
                    <w:t>SELECT AppCheckin.Geraet, COUNT(*) AS Treffer</w:t>
                    <w:br/>
                    <w:t>FROM RadExport, AppCheckin</w:t>
                    <w:br/>
                    <w:t>WHERE AppCheckin.Ort = RadExport.StartStation</w:t>
                    <w:br/>
                    <w:t xml:space="preserve">  AND AppCheckin.Zeitpunkt = RadExport.Start</w:t>
                    <w:br/>
                    <w:t xml:space="preserve">  AND RadExport.KundenToken = 'R-7F3A'</w:t>
                    <w:br/>
                    <w:t>GROUP BY AppCheckin.Geraet</w:t>
                    <w:br/>
                    <w:t>ORDER BY Treffer DESC;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2268" w:type="dxa"/>
                  </w:tblPr>
                  <w:tblGrid>
                    <w:gridCol w:w="1134"/>
                    <w:gridCol w:w="1134"/>
                  </w:tblGrid>
                  <w:tr>
                    <w:trPr>
                      <w:tblHeader/>
                    </w:trPr>
                    <w:tc>
                      <w:tcPr>
                        <w:tcW w:type="dxa" w:w="113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Geraet</w:t>
                        </w:r>
                      </w:p>
                    </w:tc>
                    <w:tc>
                      <w:tcPr>
                        <w:tcW w:type="dxa" w:w="113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Treffer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WA-3917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WA-5530</w:t>
                        </w:r>
                      </w:p>
                    </w:tc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WA-3917</w:t>
                  </w:r>
                  <w:r>
                    <w:t xml:space="preserve"> passt zu allen fünf Fahrten; WA-5530 (Nachtschicht im Hafen) nur zu zwei.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A6-E1-12 · Spur 4: Wo war das Gerät sonst?</w:t>
                  </w:r>
                </w:p>
                <w:p>
                  <w:pPr>
                    <w:pStyle w:val="SQL-Code"/>
                  </w:pPr>
                  <w:r>
                    <w:t>SELECT Ort, Zeitpunkt</w:t>
                    <w:br/>
                    <w:t>FROM AppCheckin</w:t>
                    <w:br/>
                    <w:t>WHERE Geraet = 'WA-3917'</w:t>
                    <w:br/>
                    <w:t>ORDER BY Zeitpunkt;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4195" w:type="dxa"/>
                  </w:tblPr>
                  <w:tblGrid>
                    <w:gridCol w:w="2041"/>
                    <w:gridCol w:w="2154"/>
                  </w:tblGrid>
                  <w:tr>
                    <w:trPr>
                      <w:tblHeader/>
                    </w:trPr>
                    <w:tc>
                      <w:tcPr>
                        <w:tcW w:type="dxa" w:w="204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Ort</w:t>
                        </w:r>
                      </w:p>
                    </w:tc>
                    <w:tc>
                      <w:tcPr>
                        <w:tcW w:type="dxa" w:w="215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Zeitpunkt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Kranstraße 7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2026-08-24 05:40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Vereinsheim TuS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2026-08-25 19:02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Festplatz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2026-08-29 21:52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Festplatz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2026-08-29 23:06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Vereinsheim TuS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2026-09-01 18:58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Kranstraße 7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2026-09-02 04:15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Hafenkante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2026-09-08 01:14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Kranstraße 7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2026-09-08 02:41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Hafenkante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2026-09-09 01:32</w:t>
                        </w:r>
                      </w:p>
                    </w:tc>
                  </w:tr>
                  <w:tr>
                    <w:tc>
                      <w:tcPr>
                        <w:tcW w:type="dxa" w:w="204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19 Check-ins: dienstags Vereinsheim TuS, Festplatz am 29.08. vor 22 und nach 23 Uhr, Fundbüro am 14.09. um 10:17, Hafenkante in den Tatnächten – und nachts immer wieder </w:t>
                  </w:r>
                  <w:r>
                    <w:rPr>
                      <w:b/>
                    </w:rPr>
                    <w:t>Kranstraße 7</w:t>
                  </w:r>
                  <w:r>
                    <w:t>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A6-E1-13 · Spur 5: Wer aus dem TuS passt?</w:t>
                  </w:r>
                </w:p>
                <w:p>
                  <w:pPr>
                    <w:pStyle w:val="SQL-Code"/>
                  </w:pPr>
                  <w:r>
                    <w:t>SELECT MitgliedToken</w:t>
                    <w:br/>
                    <w:t>FROM VereinExport</w:t>
                    <w:br/>
                    <w:t>WHERE Geburtsjahr = 1988</w:t>
                    <w:br/>
                    <w:t xml:space="preserve">  AND Stadtteil = 'Hafenviertel'</w:t>
                    <w:br/>
                    <w:t xml:space="preserve">  AND Abteilung = 'Tischtennis';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1814" w:type="dxa"/>
                  </w:tblPr>
                  <w:tblGrid>
                    <w:gridCol w:w="1814"/>
                  </w:tblGrid>
                  <w:tr>
                    <w:trPr>
                      <w:tblHeader/>
                    </w:trPr>
                    <w:tc>
                      <w:tcPr>
                        <w:tcW w:type="dxa" w:w="181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MitgliedToken</w:t>
                        </w:r>
                      </w:p>
                    </w:tc>
                  </w:tr>
                  <w:tr>
                    <w:tc>
                      <w:tcPr>
                        <w:tcW w:type="dxa" w:w="181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V-2571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Genau </w:t>
                  </w:r>
                  <w:r>
                    <w:rPr>
                      <w:b/>
                    </w:rPr>
                    <w:t>V-2571</w:t>
                  </w:r>
                  <w:r>
                    <w:t xml:space="preserve"> (Tischtennis). „Nora Falter“ (V-9952) hat kein Geburtsjahr und fällt heraus (P5).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A6-E1-14 · Spur 6: Die Enttarnung</w:t>
                  </w:r>
                </w:p>
                <w:p>
                  <w:pPr>
                    <w:pStyle w:val="SQL-Code"/>
                  </w:pPr>
                  <w:r>
                    <w:t>SELECT DISTINCT e.Vorname, e.Nachname</w:t>
                    <w:br/>
                    <w:t>FROM Einwohner e, AppCheckin a, RadExport r</w:t>
                    <w:br/>
                    <w:t>WHERE a.Ort = e.Strasse</w:t>
                    <w:br/>
                    <w:t xml:space="preserve">  AND a.Geraet = 'WA-3917'</w:t>
                    <w:br/>
                    <w:t xml:space="preserve">  AND r.KundenToken = 'R-7F3A'</w:t>
                    <w:br/>
                    <w:t xml:space="preserve">  AND r.Jahrgang = e.Jahrgang</w:t>
                    <w:br/>
                    <w:t xml:space="preserve">  AND r.Stadtteil = e.Stadtteil;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2608" w:type="dxa"/>
                  </w:tblPr>
                  <w:tblGrid>
                    <w:gridCol w:w="1134"/>
                    <w:gridCol w:w="1474"/>
                  </w:tblGrid>
                  <w:tr>
                    <w:trPr>
                      <w:tblHeader/>
                    </w:trPr>
                    <w:tc>
                      <w:tcPr>
                        <w:tcW w:type="dxa" w:w="113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Vorname</w:t>
                        </w:r>
                      </w:p>
                    </w:tc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Nachname</w:t>
                        </w:r>
                      </w:p>
                    </w:tc>
                  </w:tr>
                  <w:tr>
                    <w:tc>
                      <w:tcPr>
                        <w:tcW w:type="dxa" w:w="113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Merle</w:t>
                        </w:r>
                      </w:p>
                    </w:tc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Falkenrath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Merle Falkenrath</w:t>
                  </w:r>
                  <w:r>
                    <w:t xml:space="preserve"> – ohne DISTINCT erschiene sie einmal je Kombination aus Check-in und Fahrt (P2); ohne Jahrgang/Stadtteil käme der Nachbar Rune Siemers (1961) hinzu.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P6</w:t>
                  </w:r>
                  <w:r>
                    <w:t xml:space="preserve">  Spur 1 mit fünf BETWEEN-Fenstern ohne Klammern um die OR-Gruppe – die Station gilt dann nur für die erste Nacht.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P4</w:t>
                  </w:r>
                  <w:r>
                    <w:t xml:space="preserve">  Spur 2 mit GROUP BY und COUNT(*): zählt Fahrten, nicht Menschen.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Spur 6 ohne DISTINCT oder ohne Jahrgangsbedingung (Nachbar Rune Siemers, 1961).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Beurteile</w:t>
            </w:r>
            <w:r>
              <w:t xml:space="preserve"> die drei Auszüge aus den Datenschutzhinweisen der WeserApp jeweils anhand eines passenden Grundsatzes.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030" w:type="dxa"/>
            </w:tblPr>
            <w:tblGrid>
              <w:gridCol w:w="1417"/>
              <w:gridCol w:w="5613"/>
            </w:tblGrid>
            <w:tr>
              <w:trPr>
                <w:tblHeader/>
              </w:trPr>
              <w:tc>
                <w:tcPr>
                  <w:tcW w:type="dxa" w:w="141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Auszug</w:t>
                  </w:r>
                </w:p>
              </w:tc>
              <w:tc>
                <w:tcPr>
                  <w:tcW w:type="dxa" w:w="5613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Datenschutzhinweis der WeserApp (fiktiv)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 · Werbung</w:t>
                  </w:r>
                </w:p>
              </w:tc>
              <w:tc>
                <w:tcPr>
                  <w:tcW w:type="dxa" w:w="561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„Wir nutzen deine Check-ins, um dir passende Angebote unserer Partner anzuzeigen. Mit der Nutzung der App erklärst du dich damit einverstanden.“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 · Standort</w:t>
                  </w:r>
                </w:p>
              </w:tc>
              <w:tc>
                <w:tcPr>
                  <w:tcW w:type="dxa" w:w="561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„Die App erfasst deinen Standort auch im Hintergrund. Ist kein markierter Ort in der Nähe, speichern wir die nächstgelegene Adresse. Check-ins bewahren wir zur Verbesserung unserer Dienste auf.“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C · Interaktionen</w:t>
                  </w:r>
                </w:p>
              </w:tc>
              <w:tc>
                <w:tcPr>
                  <w:tcW w:type="dxa" w:w="561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„Wir werten aus, welche Orte du wie oft besuchst und welche Funktionen du nutzt, und erstellen daraus ein Nutzungsprofil. Daten können an Stellen der Stadtverwaltung weitergegeben werden.“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A · Werbung:</w:t>
                  </w:r>
                  <w:r>
                    <w:t xml:space="preserve"> Keine wirksame </w:t>
                  </w:r>
                  <w:r>
                    <w:rPr>
                      <w:b/>
                    </w:rPr>
                    <w:t>Einwilligung</w:t>
                  </w:r>
                  <w:r>
                    <w:t xml:space="preserve"> – sie ist an die Nutzung gekoppelt (nicht freiwillig), nicht ausdrücklich und nicht konkret (welche Partner?). Werbung ist außerdem ein anderer Zweck als Check-ins (</w:t>
                  </w:r>
                  <w:r>
                    <w:rPr>
                      <w:b/>
                    </w:rPr>
                    <w:t>Zweckbindung</w:t>
                  </w:r>
                  <w:r>
                    <w:t>). → So unzulässig; nötig wäre ein freiwilliges, widerrufbares Opt-in.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 · Standort:</w:t>
                  </w:r>
                  <w:r>
                    <w:t xml:space="preserve"> Verstoß gegen </w:t>
                  </w:r>
                  <w:r>
                    <w:rPr>
                      <w:b/>
                    </w:rPr>
                    <w:t>Datenminimierung</w:t>
                  </w:r>
                  <w:r>
                    <w:t xml:space="preserve"> (Hintergrundortung und Adressen sind für Check-ins nicht nötig) und </w:t>
                  </w:r>
                  <w:r>
                    <w:rPr>
                      <w:b/>
                    </w:rPr>
                    <w:t>Speicherbegrenzung</w:t>
                  </w:r>
                  <w:r>
                    <w:t xml:space="preserve"> („zur Verbesserung“ ohne Frist). Standortdaten verraten die Wohnung – genau so wurde das Phantom gefunden. → unzulässig, mindestens Löschfrist und Abschaltbarkeit.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C · Interaktionen:</w:t>
                  </w:r>
                  <w:r>
                    <w:t xml:space="preserve"> </w:t>
                  </w:r>
                  <w:r>
                    <w:rPr>
                      <w:b/>
                    </w:rPr>
                    <w:t>Profilbildung</w:t>
                  </w:r>
                  <w:r>
                    <w:t xml:space="preserve"> und Weitergabe an „Stellen der Stadtverwaltung“ ohne benannten Zweck verletzen </w:t>
                  </w:r>
                  <w:r>
                    <w:rPr>
                      <w:b/>
                    </w:rPr>
                    <w:t>Zweckbindung</w:t>
                  </w:r>
                  <w:r>
                    <w:t xml:space="preserve"> und </w:t>
                  </w:r>
                  <w:r>
                    <w:rPr>
                      <w:b/>
                    </w:rPr>
                    <w:t>Transparenz</w:t>
                  </w:r>
                  <w:r>
                    <w:t>; es fehlt eine Rechtsgrundlage. → unzulässig, solange Zweck, Empfänger und Rechtsgrundlage nicht genannt sind.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Grundsätze nur genannt, ohne Bezug auf den Wortlaut des Auszugs und ohne Urteil.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„Wer die App nutzt, ist selbst schuld“ – keine Beurteilung anhand der Grundsätze.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Erörtere</w:t>
            </w:r>
            <w:r>
              <w:t xml:space="preserve"> die Aussage: „Die Detektei hat das Phantom nur gefunden, weil sie selbst alle Bürger durchleuchtet hat.“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Dafür:</w:t>
                  </w:r>
                  <w:r>
                    <w:t xml:space="preserve"> Die Detektei hat Daten von Hunderten Menschen verknüpft (Rad, Fest, Verein, App, Einwohner) – ohne deren Wissen (</w:t>
                  </w:r>
                  <w:r>
                    <w:rPr>
                      <w:b/>
                    </w:rPr>
                    <w:t>Transparenz</w:t>
                  </w:r>
                  <w:r>
                    <w:t>), ohne Einwilligung und für einen neuen Zweck (</w:t>
                  </w:r>
                  <w:r>
                    <w:rPr>
                      <w:b/>
                    </w:rPr>
                    <w:t>Zweckbindung</w:t>
                  </w:r>
                  <w:r>
                    <w:t xml:space="preserve">). Zwei Unbeteiligte gerieten nur wegen Jahrgang und Stadtteil unter Verdacht; ihre Adressen lagen ebenfalls offen. Das ist genau die </w:t>
                  </w:r>
                  <w:r>
                    <w:rPr>
                      <w:b/>
                    </w:rPr>
                    <w:t>Profilbildung</w:t>
                  </w:r>
                  <w:r>
                    <w:t>, vor der das Phantom gewarnt hat.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Dagegen:</w:t>
                  </w:r>
                  <w:r>
                    <w:t xml:space="preserve"> Die Detektei hat nicht „alle“ durchleuchtet, sondern gezielt nach Tatort und Tatzeit gefiltert, Unbeteiligte nicht weiter verfolgt und im Auftrag der geschädigten Stadt gehandelt; das Aufklären von Manipulationen schützt auch die </w:t>
                  </w:r>
                  <w:r>
                    <w:rPr>
                      <w:b/>
                    </w:rPr>
                    <w:t>Integrität</w:t>
                  </w:r>
                  <w:r>
                    <w:t xml:space="preserve"> städtischer Daten.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Fazit (Beispiel):</w:t>
                  </w:r>
                  <w:r>
                    <w:t xml:space="preserve"> Die Aussage überzeichnet, trifft aber den Kern: Möglich war die Enttarnung nur, weil zu viele Daten zu lange und zu genau gespeichert und ohne Rechtsgrundlage weitergegeben wurden. Ein gutes Ziel ersetzt keine Rechtsgrundlage – richtig wäre gewesen, die Polizei bzw. eine dafür zuständige Stelle mit klarer Rechtsgrundlage ermitteln zu lassen.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Nur eine Seite dargestellt oder ohne eigenes, begründetes Fazit.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Allgemeine Meinung („Datenschutz ist wichtig“) ohne Bezug zum Fall und zu Grundsätzen.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 (Operator beurteilen, AFB II/III)</w:t>
            </w:r>
          </w:p>
          <w:p>
            <w:pPr>
              <w:pStyle w:val="DDTabellentext"/>
            </w:pPr>
            <w:r>
              <w:t xml:space="preserve">Die Stadt plant, die Ausleihdaten von StadtRad (Kundennummer, Jahrgang, Stadtteil, Start- und Zielstation, Zeitpunkte) an ein Unternehmen für personalisierte Werbung weiterzugeben. </w:t>
            </w:r>
            <w:r>
              <w:rPr>
                <w:b/>
              </w:rPr>
              <w:t>Beurteilen</w:t>
            </w:r>
            <w:r>
              <w:t xml:space="preserve"> Sie dieses Vorhaben unter Bezug auf zwei Grundsätze des Datenschutzes. [4 BE]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Einordnung (1 BE):</w:t>
                  </w:r>
                  <w:r>
                    <w:t xml:space="preserve"> Die Daten sind personenbezogen – die Kundennummer ist ein Pseudonym; über Jahrgang, Stadtteil und Fahrtmuster (z. B. täglicher Start an derselben Station) sind Personen bestimmbar.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Zweckbindung (1 BE):</w:t>
                  </w:r>
                  <w:r>
                    <w:t xml:space="preserve"> Erhoben wurden die Daten für Ausleihe und Abrechnung; personalisierte Werbung ist ein neuer, damit nicht vereinbarer Zweck.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Rechtmäßigkeit / Einwilligung bzw. Transparenz (1 BE):</w:t>
                  </w:r>
                  <w:r>
                    <w:t xml:space="preserve"> Eine Weitergabe wäre nur mit freiwilliger, informierter, ausdrücklicher Einwilligung der Kundschaft zulässig, die jederzeit widerrufen werden kann; die Betroffenen müssten vorher erfahren, wer welche Daten wozu erhält.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Urteil (1 BE):</w:t>
                  </w:r>
                  <w:r>
                    <w:t xml:space="preserve"> In der geplanten Form ist das Vorhaben unzulässig. Vertretbar wäre es nur mit Einwilligung (Opt-in) oder mit wirklich anonymen, aggregierten Daten – die für personalisierte Werbung aber nicht taugen.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Auch richtig: Datenminimierung (Zielstation und Zeitpunkte sind für Werbung nicht erforderlich) als zweiter Grundsatz.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Grundsätze nur aufgezählt, kein Urteil – höchstens 2 BE.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„Die Daten sind anonym, weil keine Namen drinstehen“ – Pseudonym ≠ anonym.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6.1 „Das Phantom“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zuerst das </w:t>
            </w:r>
            <w:r>
              <w:rPr>
                <w:b/>
              </w:rPr>
              <w:t>Schlussplädoyer</w:t>
            </w:r>
            <w:r>
              <w:t xml:space="preserve"> A6-E1-09 … 14, dann A6-E1-01 … 08 (07/08 als Kernpunkte-Aufgaben, Rest als Hausaufgabe) · danach </w:t>
            </w:r>
            <w:r>
              <w:rPr>
                <w:b/>
              </w:rPr>
              <w:t>Verhör 6</w:t>
            </w:r>
            <w:r>
              <w:t xml:space="preserve"> · Fitness-App (15 min)  ·  </w:t>
            </w:r>
            <w:r>
              <w:rPr>
                <w:b/>
              </w:rPr>
              <w:t>Werkzeug:</w:t>
            </w:r>
            <w:r>
              <w:t xml:space="preserve"> Ermittlungskonsole mit Pinnwand</w:t>
            </w:r>
          </w:p>
          <w:p>
            <w:pPr>
              <w:pStyle w:val="DDTabellentext"/>
            </w:pPr>
            <w:r>
              <w:t>Cold Case im Lab: A6-E1-CC „Wie anonym ist Weserstedt?“ (ohne Punkte).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Mindestgruppengröße</w:t>
            </w:r>
          </w:p>
          <w:p>
            <w:pPr>
              <w:pStyle w:val="DDTabellentext"/>
            </w:pPr>
            <w:r>
              <w:t xml:space="preserve">Schlage eine Regel vor, ab welcher Gruppengröße die Stadt Zahlen aus dem Einwohnerverzeichnis (gruppiert nach Jahrgang und Stadtteil) veröffentlichen darf. </w:t>
            </w:r>
            <w:r>
              <w:rPr>
                <w:b/>
              </w:rPr>
              <w:t>Prüfe</w:t>
            </w:r>
            <w:r>
              <w:t xml:space="preserve"> deine Regel per SQL an der Tabelle Einwohner – und finde eine Vergröberung, mit der mehr Gruppen groß genug werden.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Beispielregel: nur Gruppen mit </w:t>
                  </w:r>
                  <w:r>
                    <w:rPr>
                      <w:b/>
                    </w:rPr>
                    <w:t>mindestens 5 Personen</w:t>
                  </w:r>
                  <w:r>
                    <w:t xml:space="preserve"> veröffentlichen.</w:t>
                  </w:r>
                </w:p>
                <w:p>
                  <w:pPr>
                    <w:pStyle w:val="SQL-Code"/>
                  </w:pPr>
                  <w:r>
                    <w:t>SELECT Jahrgang, Stadtteil, COUNT(*) AS Anzahl</w:t>
                    <w:br/>
                    <w:t>FROM Einwohner</w:t>
                    <w:br/>
                    <w:t>GROUP BY Jahrgang, Stadtteil</w:t>
                    <w:br/>
                    <w:t>HAVING COUNT(*) &gt;= 5;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3628" w:type="dxa"/>
                  </w:tblPr>
                  <w:tblGrid>
                    <w:gridCol w:w="1247"/>
                    <w:gridCol w:w="1360"/>
                    <w:gridCol w:w="1020"/>
                  </w:tblGrid>
                  <w:tr>
                    <w:trPr>
                      <w:tblHeader/>
                    </w:trPr>
                    <w:tc>
                      <w:tcPr>
                        <w:tcW w:type="dxa" w:w="124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Jahrgang</w:t>
                        </w:r>
                      </w:p>
                    </w:tc>
                    <w:tc>
                      <w:tcPr>
                        <w:tcW w:type="dxa" w:w="136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Stadtteil</w:t>
                        </w:r>
                      </w:p>
                    </w:tc>
                    <w:tc>
                      <w:tcPr>
                        <w:tcW w:type="dxa" w:w="102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Anzahl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Ergebnis: </w:t>
                  </w:r>
                  <w:r>
                    <w:rPr>
                      <w:b/>
                    </w:rPr>
                    <w:t>keine einzige Gruppe</w:t>
                  </w:r>
                  <w:r>
                    <w:t xml:space="preserve"> – nach Jahrgang und Stadtteil darf nichts veröffentlicht werden (alle 250 Einwohner leben in Gruppen unter 5 Personen; die größte Gruppe hat 4).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Vergröberung: Jahrzehnt statt Jahrgang (hier die 1980er) – es bleiben trotzdem kleine Gruppen:</w:t>
                  </w:r>
                </w:p>
                <w:p>
                  <w:pPr>
                    <w:pStyle w:val="SQL-Code"/>
                  </w:pPr>
                  <w:r>
                    <w:t>SELECT Stadtteil, COUNT(*) AS Anzahl</w:t>
                    <w:br/>
                    <w:t>FROM Einwohner</w:t>
                    <w:br/>
                    <w:t>WHERE Jahrgang BETWEEN 1980 AND 1989</w:t>
                    <w:br/>
                    <w:t>GROUP BY Stadtteil</w:t>
                    <w:br/>
                    <w:t>HAVING COUNT(*) &lt; 5</w:t>
                    <w:br/>
                    <w:t>ORDER BY Anzahl;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2494" w:type="dxa"/>
                  </w:tblPr>
                  <w:tblGrid>
                    <w:gridCol w:w="1474"/>
                    <w:gridCol w:w="1020"/>
                  </w:tblGrid>
                  <w:tr>
                    <w:trPr>
                      <w:tblHeader/>
                    </w:trPr>
                    <w:tc>
                      <w:tcPr>
                        <w:tcW w:type="dxa" w:w="147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Stadtteil</w:t>
                        </w:r>
                      </w:p>
                    </w:tc>
                    <w:tc>
                      <w:tcPr>
                        <w:tcW w:type="dxa" w:w="102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Anzahl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Deichkamp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Lindenhof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Mühlenfeld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c>
                  </w:tr>
                  <w:tr>
                    <w:tc>
                      <w:tcPr>
                        <w:tcW w:type="dxa" w:w="147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Weserufer</w:t>
                        </w:r>
                      </w:p>
                    </w:tc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Also weiter vergröbern (nur Stadtteil, oder Jahrzehnt ohne Stadtteil) oder kleine Gruppen zusammenfassen („andere“).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WHERE COUNT(*) &gt;= 5</w:t>
                  </w:r>
                  <w:r>
                    <w:t xml:space="preserve"> – Bedingungen über Gruppen gehören in HAVING.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6.1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6 · DATENSPUREN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Phantom</dc:title>
  <dc:subject>Datenspuren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6</vt:lpwstr>
  </property>
  <property fmtid="{D5CDD505-2E9C-101B-9397-08002B2CF9AE}" pid="3" name="DD-Art">
    <vt:lpwstr>ab</vt:lpwstr>
  </property>
  <property fmtid="{D5CDD505-2E9C-101B-9397-08002B2CF9AE}" pid="4" name="DD-Datenbank">
    <vt:lpwstr>datenspuren</vt:lpwstr>
  </property>
  <property fmtid="{D5CDD505-2E9C-101B-9397-08002B2CF9AE}" pid="5" name="DD-Fassung">
    <vt:lpwstr>loesung</vt:lpwstr>
  </property>
  <property fmtid="{D5CDD505-2E9C-101B-9397-08002B2CF9AE}" pid="6" name="DD-Kompetenzen">
    <vt:lpwstr>{"AB 6.1/1": ["DB-K44"], "AB 6.1/2": ["DB-K46"], "AB 6.1/3": ["DB-K24", "DB-K26"], "AB 6.1/4": ["DB-K45", "DB-K44"], "AB 6.1/5": ["DB-K46", "DB-K45"], "AB 6.1/Abi-Ecke": ["DB-K45", "DB-K44"], "AB 6.1/Cold Case": ["DB-K46"]}</vt:lpwstr>
  </property>
  <property fmtid="{D5CDD505-2E9C-101B-9397-08002B2CF9AE}" pid="7" name="DD-Kuer">
    <vt:lpwstr>nein</vt:lpwstr>
  </property>
  <property fmtid="{D5CDD505-2E9C-101B-9397-08002B2CF9AE}" pid="8" name="DD-Material">
    <vt:lpwstr>AB 6.1</vt:lpwstr>
  </property>
</Properties>
</file>