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W-A5-01 · ER-MODELL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Notation benennen</w:t>
            </w:r>
          </w:p>
          <w:p>
            <w:pPr>
              <w:pStyle w:val="DDTabellentext"/>
              <w:spacing w:after="60"/>
            </w:pPr>
            <w:r>
              <w:t xml:space="preserve">Im Bauplan steht: </w:t>
            </w:r>
            <w:r>
              <w:rPr>
                <w:rFonts w:ascii="IBM Plex Mono" w:hAnsi="IBM Plex Mono" w:eastAsia="IBM Plex Mono" w:cs="IBM Plex Mono"/>
                <w:sz w:val="19"/>
              </w:rPr>
              <w:t>[Ermittler]</w:t>
            </w:r>
            <w:r>
              <w:t xml:space="preserve"> —1— </w:t>
            </w:r>
            <w:r>
              <w:rPr>
                <w:rFonts w:ascii="IBM Plex Mono" w:hAnsi="IBM Plex Mono" w:eastAsia="IBM Plex Mono" w:cs="IBM Plex Mono"/>
                <w:sz w:val="19"/>
              </w:rPr>
              <w:t>&lt;leitet&gt;</w:t>
            </w:r>
            <w:r>
              <w:t xml:space="preserve"> —n— </w:t>
            </w:r>
            <w:r>
              <w:rPr>
                <w:rFonts w:ascii="IBM Plex Mono" w:hAnsi="IBM Plex Mono" w:eastAsia="IBM Plex Mono" w:cs="IBM Plex Mono"/>
                <w:sz w:val="19"/>
              </w:rPr>
              <w:t>[Fall]</w:t>
            </w:r>
            <w:r>
              <w:t xml:space="preserve">, an Ermittler die Ellipsen </w:t>
            </w:r>
            <w:r>
              <w:rPr>
                <w:i/>
              </w:rPr>
              <w:t>ErmittlerNr</w:t>
            </w:r>
            <w:r>
              <w:t xml:space="preserve"> (unterstrichen) und </w:t>
            </w:r>
            <w:r>
              <w:rPr>
                <w:i/>
              </w:rPr>
              <w:t>Name</w:t>
            </w:r>
            <w:r>
              <w:t>. Benenne die Elemente mit den Fachbegriffen der EH: Rechteck, Raute, unterstrichene Ellipse, Ellipse, 1 und n.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K33, K47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W-A5-02 · ER-MODELL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Mengenbild</w:t>
            </w:r>
          </w:p>
          <w:p>
            <w:pPr>
              <w:pStyle w:val="DDTabellentext"/>
              <w:spacing w:after="60"/>
            </w:pPr>
            <w:r>
              <w:t xml:space="preserve">Mengendiagramm: Station A ist mit den Rädern 1, 2, 3 verbunden, Station B mit Rad 4 und 5; jedes Rad hat genau eine Linie. Bestimme die Kardinalität von </w:t>
            </w:r>
            <w:r>
              <w:rPr>
                <w:i/>
              </w:rPr>
              <w:t>steht an</w:t>
            </w:r>
            <w:r>
              <w:t xml:space="preserve"> zwischen Station und Rad und formuliere sie in </w:t>
            </w:r>
            <w:r>
              <w:rPr>
                <w:b/>
              </w:rPr>
              <w:t>beiden</w:t>
            </w:r>
            <w:r>
              <w:t xml:space="preserve"> Richtungen.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K34 · Falle P9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W-A5-03 · ER-MODELL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Aus den Daten</w:t>
            </w:r>
          </w:p>
          <w:p>
            <w:pPr>
              <w:pStyle w:val="DDTabellentext"/>
              <w:spacing w:after="60"/>
            </w:pPr>
            <w:r>
              <w:t xml:space="preserve">Tabelle </w:t>
            </w:r>
            <w:r>
              <w:rPr>
                <w:rFonts w:ascii="IBM Plex Mono" w:hAnsi="IBM Plex Mono" w:eastAsia="IBM Plex Mono" w:cs="IBM Plex Mono"/>
                <w:sz w:val="19"/>
              </w:rPr>
              <w:t>Leihe(LeserNr, BuchNr)</w:t>
            </w:r>
            <w:r>
              <w:t xml:space="preserve"> mit den Zeilen (1, 10), (1, 11), (2, 10), (3, 12). Leite die Kardinalität zwischen Leser und Buch ab und begründe.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K34 · Falle P9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W-A5-04 · ER-MODELL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Wohin mit der Note?</w:t>
            </w:r>
          </w:p>
          <w:p>
            <w:pPr>
              <w:pStyle w:val="DDTabellentext"/>
              <w:spacing w:after="60"/>
            </w:pPr>
            <w:r>
              <w:t xml:space="preserve">Im Modell Schueler —n— </w:t>
            </w:r>
            <w:r>
              <w:rPr>
                <w:rFonts w:ascii="IBM Plex Mono" w:hAnsi="IBM Plex Mono" w:eastAsia="IBM Plex Mono" w:cs="IBM Plex Mono"/>
                <w:sz w:val="19"/>
              </w:rPr>
              <w:t>&lt;belegt&gt;</w:t>
            </w:r>
            <w:r>
              <w:t xml:space="preserve"> —m— Kurs soll die Note gespeichert werden. Begründe, an welches Element die Note gehört.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K36 · Falle P9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W-A5-05 · ER-MODELL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Rekursiv lesen</w:t>
            </w:r>
          </w:p>
          <w:p>
            <w:pPr>
              <w:pStyle w:val="DDTabellentext"/>
              <w:spacing w:after="60"/>
            </w:pPr>
            <w:r>
              <w:t xml:space="preserve">Ein Bauplan zeigt </w:t>
            </w:r>
            <w:r>
              <w:rPr>
                <w:rFonts w:ascii="IBM Plex Mono" w:hAnsi="IBM Plex Mono" w:eastAsia="IBM Plex Mono" w:cs="IBM Plex Mono"/>
                <w:sz w:val="19"/>
              </w:rPr>
              <w:t>[Schueler]</w:t>
            </w:r>
            <w:r>
              <w:t xml:space="preserve"> mit der Raute </w:t>
            </w:r>
            <w:r>
              <w:rPr>
                <w:i/>
              </w:rPr>
              <w:t>istPateVon</w:t>
            </w:r>
            <w:r>
              <w:t xml:space="preserve">, an deren Kanten „Pate 1“ und „Patenkind n“ stehen. Formuliere die Beziehung in </w:t>
            </w:r>
            <w:r>
              <w:rPr>
                <w:b/>
              </w:rPr>
              <w:t>beiden</w:t>
            </w:r>
            <w:r>
              <w:t xml:space="preserve"> Richtungen im Sachzusammenhang.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K37, K33 · Falle P9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W-A5-06 · ER-MODELL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Ternär lesen</w:t>
            </w:r>
          </w:p>
          <w:p>
            <w:pPr>
              <w:pStyle w:val="DDTabellentext"/>
              <w:spacing w:after="60"/>
            </w:pPr>
            <w:r>
              <w:t xml:space="preserve">Erläutere, welche Information die ternäre Beziehung </w:t>
            </w:r>
            <w:r>
              <w:rPr>
                <w:i/>
              </w:rPr>
              <w:t>sagtAus</w:t>
            </w:r>
            <w:r>
              <w:t xml:space="preserve"> (Person, Fall, Ort) speichert, die drei binäre Beziehungen Person–Fall, Fall–Ort und Person–Ort </w:t>
            </w:r>
            <w:r>
              <w:rPr>
                <w:b/>
              </w:rPr>
              <w:t>nicht</w:t>
            </w:r>
            <w:r>
              <w:t xml:space="preserve"> speichern.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K38 · Falle P9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W-A5-07 · ER-MODELL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Text → Mini-ER</w:t>
            </w:r>
          </w:p>
          <w:p>
            <w:pPr>
              <w:pStyle w:val="DDTabellentext"/>
              <w:spacing w:after="60"/>
            </w:pPr>
            <w:r>
              <w:t>Skizziere ein Mini-ER zu: „Ein Kurs wird von genau einer Lehrkraft geleitet. Schüler belegen mehrere Kurse.“ (Entitätstypen mit Schlüsselattribut, Beziehungstypen, Kardinalitäten)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K35 · Falle P9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W-A5-08 · ER-MODELL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Grenzen</w:t>
            </w:r>
          </w:p>
          <w:p>
            <w:pPr>
              <w:pStyle w:val="DDTabellentext"/>
              <w:spacing w:after="60"/>
            </w:pPr>
            <w:r>
              <w:t xml:space="preserve">Begründe, warum „Jede Band hat </w:t>
            </w:r>
            <w:r>
              <w:rPr>
                <w:b/>
              </w:rPr>
              <w:t>genau vier</w:t>
            </w:r>
            <w:r>
              <w:t xml:space="preserve"> Mitglieder“ mit den Kardinalitäten 1/n/m nicht darstellbar ist.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K40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W-A5-09 · ÜBERFÜHRUNG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1:n überführen</w:t>
            </w:r>
          </w:p>
          <w:p>
            <w:pPr>
              <w:pStyle w:val="DDTabellentext"/>
              <w:spacing w:after="60"/>
            </w:pPr>
            <w:r>
              <w:t xml:space="preserve">Überführe Ermittler —1— </w:t>
            </w:r>
            <w:r>
              <w:rPr>
                <w:i/>
              </w:rPr>
              <w:t>leitet</w:t>
            </w:r>
            <w:r>
              <w:t xml:space="preserve"> —n— Fall in die Kurzschreibweise und begründe, in welcher Relation der Fremdschlüssel steht.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K41, K42 · Falle P9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W-A5-10 · ÜBERFÜHRUNG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n:m überführen</w:t>
            </w:r>
          </w:p>
          <w:p>
            <w:pPr>
              <w:pStyle w:val="DDTabellentext"/>
              <w:spacing w:after="60"/>
            </w:pPr>
            <w:r>
              <w:t xml:space="preserve">Überführe Schueler —n— </w:t>
            </w:r>
            <w:r>
              <w:rPr>
                <w:i/>
              </w:rPr>
              <w:t>belegt</w:t>
            </w:r>
            <w:r>
              <w:t xml:space="preserve"> —m— Kurs mit dem Attribut Note in die Kurzschreibweise.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K41 · Falle P9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W-A5-11 · ÜBERFÜHRUNG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Rückwärts</w:t>
            </w:r>
          </w:p>
          <w:p>
            <w:pPr>
              <w:pStyle w:val="DDTabellentext"/>
              <w:spacing w:after="60"/>
            </w:pPr>
            <w:r>
              <w:t xml:space="preserve">Skizziere aus </w:t>
            </w:r>
            <w:r>
              <w:rPr>
                <w:rFonts w:ascii="IBM Plex Mono" w:hAnsi="IBM Plex Mono" w:eastAsia="IBM Plex Mono" w:cs="IBM Plex Mono"/>
                <w:sz w:val="19"/>
              </w:rPr>
              <w:t>Spiel(SpielNr, Datum, ↑HeimNr, ↑GastNr)</w:t>
            </w:r>
            <w:r>
              <w:t xml:space="preserve"> und </w:t>
            </w:r>
            <w:r>
              <w:rPr>
                <w:rFonts w:ascii="IBM Plex Mono" w:hAnsi="IBM Plex Mono" w:eastAsia="IBM Plex Mono" w:cs="IBM Plex Mono"/>
                <w:sz w:val="19"/>
              </w:rPr>
              <w:t>Team(TeamNr, Name)</w:t>
            </w:r>
            <w:r>
              <w:t xml:space="preserve"> das ER-Diagramm (beide Fremdschlüssel verweisen auf Team).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K43, K38 · Falle P9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W-A5-12 · SQL VERBUND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Self-Join</w:t>
            </w:r>
          </w:p>
          <w:p>
            <w:pPr>
              <w:pStyle w:val="DDTabellentext"/>
              <w:spacing w:after="60"/>
            </w:pPr>
            <w:r>
              <w:t>Notiere eine Abfrage, die zu jedem Ermittler den Namen seines Mentors ausgibt (</w:t>
            </w:r>
            <w:r>
              <w:rPr>
                <w:rFonts w:ascii="IBM Plex Mono" w:hAnsi="IBM Plex Mono" w:eastAsia="IBM Plex Mono" w:cs="IBM Plex Mono"/>
                <w:sz w:val="19"/>
              </w:rPr>
              <w:t>Ermittler(ErmittlerNr, Name, Dienstgrad, ↑MentorNr)</w:t>
            </w:r>
            <w:r>
              <w:t>).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K24, K16 · Falle P7</w:t>
            </w:r>
          </w:p>
        </w:tc>
      </w:tr>
    </w:tbl>
    <w:p>
      <w:r>
        <w:br w:type="page"/>
      </w:r>
    </w:p>
    <w:p>
      <w:pPr>
        <w:pStyle w:val="Heading1"/>
      </w:pPr>
      <w:r>
        <w:t>Lösungen der Warm-up-Karten</w:t>
      </w:r>
    </w:p>
    <w:p>
      <w:r>
        <w:rPr>
          <w:rFonts w:ascii="IBM Plex Mono" w:hAnsi="IBM Plex Mono" w:eastAsia="IBM Plex Mono" w:cs="IBM Plex Mono"/>
          <w:b/>
          <w:color w:val="B3261E"/>
          <w:sz w:val="14"/>
        </w:rPr>
        <w:t>NUR LEHRKRAFT – dieser Teil fehlt in der Schülerfassung.</w:t>
      </w:r>
    </w:p>
    <w:p>
      <w:pPr>
        <w:pStyle w:val="Heading3"/>
      </w:pPr>
      <w:r>
        <w:t>W-A5-01 · Notation benennen</w:t>
      </w:r>
    </w:p>
    <w:p>
      <w:r>
        <w:t xml:space="preserve">Rechteck </w:t>
      </w:r>
      <w:r>
        <w:rPr>
          <w:b/>
        </w:rPr>
        <w:t>Ermittler</w:t>
      </w:r>
      <w:r>
        <w:t xml:space="preserve">, </w:t>
      </w:r>
      <w:r>
        <w:rPr>
          <w:b/>
        </w:rPr>
        <w:t>Fall</w:t>
      </w:r>
      <w:r>
        <w:t xml:space="preserve"> = Entitätstyp · Raute </w:t>
      </w:r>
      <w:r>
        <w:rPr>
          <w:b/>
        </w:rPr>
        <w:t>leitet</w:t>
      </w:r>
      <w:r>
        <w:t xml:space="preserve"> = Beziehungstyp · unterstrichene Ellipse </w:t>
      </w:r>
      <w:r>
        <w:rPr>
          <w:b/>
        </w:rPr>
        <w:t>ErmittlerNr</w:t>
      </w:r>
      <w:r>
        <w:t xml:space="preserve"> = Schlüsselattribut · Ellipse </w:t>
      </w:r>
      <w:r>
        <w:rPr>
          <w:b/>
        </w:rPr>
        <w:t>Name</w:t>
      </w:r>
      <w:r>
        <w:t xml:space="preserve"> = Attribut · </w:t>
      </w:r>
      <w:r>
        <w:rPr>
          <w:b/>
        </w:rPr>
        <w:t>1</w:t>
      </w:r>
      <w:r>
        <w:t xml:space="preserve"> und </w:t>
      </w:r>
      <w:r>
        <w:rPr>
          <w:b/>
        </w:rPr>
        <w:t>n</w:t>
      </w:r>
      <w:r>
        <w:t xml:space="preserve"> an den Kanten = Kardinalität. Nicht „Entitätsmenge“.</w:t>
      </w:r>
    </w:p>
    <w:p>
      <w:pPr>
        <w:pStyle w:val="Heading3"/>
      </w:pPr>
      <w:r>
        <w:t>W-A5-02 · Mengenbild</w:t>
      </w:r>
    </w:p>
    <w:p>
      <w:r>
        <w:t xml:space="preserve">Station </w:t>
      </w:r>
      <w:r>
        <w:rPr>
          <w:b/>
        </w:rPr>
        <w:t>1</w:t>
      </w:r>
      <w:r>
        <w:t xml:space="preserve"> : </w:t>
      </w:r>
      <w:r>
        <w:rPr>
          <w:b/>
        </w:rPr>
        <w:t>n</w:t>
      </w:r>
      <w:r>
        <w:t xml:space="preserve"> Rad. „An einer Station können mehrere Räder stehen; jedes Rad steht an genau einer Station.“ Das n gehört an die Kante zu Rad.</w:t>
      </w:r>
    </w:p>
    <w:p>
      <w:pPr>
        <w:pStyle w:val="Heading3"/>
      </w:pPr>
      <w:r>
        <w:t>W-A5-03 · Aus den Daten</w:t>
      </w:r>
    </w:p>
    <w:p>
      <w:r>
        <w:t xml:space="preserve">Leser 1 leiht die Bücher 10 und 11 (ein Leser – mehrere Bücher), Buch 10 wurde von Leser 1 und 2 geliehen (ein Buch – mehrere Leser) → </w:t>
      </w:r>
      <w:r>
        <w:rPr>
          <w:b/>
        </w:rPr>
        <w:t>n:m</w:t>
      </w:r>
      <w:r>
        <w:t>. Wer nur eine Richtung prüft, kommt auf 1:n. Daten stützen die Kardinalität nur; begründet wird sie im Sachzusammenhang (ein Buch wird im Lauf der Zeit von vielen gelesen).</w:t>
      </w:r>
    </w:p>
    <w:p>
      <w:pPr>
        <w:pStyle w:val="Heading3"/>
      </w:pPr>
      <w:r>
        <w:t>W-A5-04 · Wohin mit der Note?</w:t>
      </w:r>
    </w:p>
    <w:p>
      <w:r>
        <w:t xml:space="preserve">An den Beziehungstyp </w:t>
      </w:r>
      <w:r>
        <w:rPr>
          <w:b/>
        </w:rPr>
        <w:t>belegt</w:t>
      </w:r>
      <w:r>
        <w:t>: Die Note hängt vom Paar Schüler–Kurs ab. Am Schüler wäre sie falsch (er hat in jedem Kurs eine andere Note), am Kurs ebenso (jeder Teilnehmende hat eine eigene).</w:t>
      </w:r>
    </w:p>
    <w:p>
      <w:pPr>
        <w:pStyle w:val="Heading3"/>
      </w:pPr>
      <w:r>
        <w:t>W-A5-05 · Rekursiv lesen</w:t>
      </w:r>
    </w:p>
    <w:p>
      <w:r>
        <w:t>„Ein Schüler kann Pate von mehreren Patenkindern sein; jedes Patenkind hat höchstens einen Paten.“ Beide Kanten führen zu Schueler (rekursiv 1:n); die Rollen Pate/Patenkind stehen an den Kanten.</w:t>
      </w:r>
    </w:p>
    <w:p>
      <w:pPr>
        <w:pStyle w:val="Heading3"/>
      </w:pPr>
      <w:r>
        <w:t>W-A5-06 · Ternär lesen</w:t>
      </w:r>
    </w:p>
    <w:p>
      <w:r>
        <w:t xml:space="preserve">Nur die ternäre Beziehung hält fest, </w:t>
      </w:r>
      <w:r>
        <w:rPr>
          <w:b/>
        </w:rPr>
        <w:t>welche Person in welchem Fall an welchem Ort</w:t>
      </w:r>
      <w:r>
        <w:t xml:space="preserve"> ausgesagt hat. Aus drei binären Beziehungen lässt sich das nicht eindeutig zurückgewinnen: Sagt Gesa in Fall 1 und 3 aus, und wurde in beiden Fällen im Fundbüro und auf dem Festplatz ausgesagt, bleibt offen, wo Gesa zu welchem Fall aussagte.</w:t>
      </w:r>
    </w:p>
    <w:p>
      <w:pPr>
        <w:pStyle w:val="Heading3"/>
      </w:pPr>
      <w:r>
        <w:t>W-A5-07 · Text → Mini-ER</w:t>
      </w:r>
    </w:p>
    <w:p>
      <w:r>
        <w:t xml:space="preserve">Lehrkraft (LehrkraftNr) —1— </w:t>
      </w:r>
      <w:r>
        <w:rPr>
          <w:i/>
        </w:rPr>
        <w:t>leitet</w:t>
      </w:r>
      <w:r>
        <w:t xml:space="preserve"> —n— Kurs (KursNr) · Schueler (SchuelerNr) —n— </w:t>
      </w:r>
      <w:r>
        <w:rPr>
          <w:i/>
        </w:rPr>
        <w:t>belegt</w:t>
      </w:r>
      <w:r>
        <w:t xml:space="preserve"> —m— Kurs. „Mehrere Kurse“ je Schüler und viele Schüler je Kurs → n:m; „genau eine Lehrkraft“ → 1 an der Lehrkraft-Kante.</w:t>
      </w:r>
    </w:p>
    <w:p>
      <w:pPr>
        <w:pStyle w:val="Heading3"/>
      </w:pPr>
      <w:r>
        <w:t>W-A5-08 · Grenzen</w:t>
      </w:r>
    </w:p>
    <w:p>
      <w:r>
        <w:t xml:space="preserve">1/n/m unterscheiden nur „eins“ und „viele“. Eine konkrete Anzahl wie vier lässt sich so nicht notieren – sie wird als </w:t>
      </w:r>
      <w:r>
        <w:rPr>
          <w:b/>
        </w:rPr>
        <w:t>Anmerkung zum Modell</w:t>
      </w:r>
      <w:r>
        <w:t xml:space="preserve"> festgehalten (Band 1 : n Mitglied bzw. n:m bleibt die Kardinalität).</w:t>
      </w:r>
    </w:p>
    <w:p>
      <w:pPr>
        <w:pStyle w:val="Heading3"/>
      </w:pPr>
      <w:r>
        <w:t>W-A5-09 · 1:n überführen</w:t>
      </w:r>
    </w:p>
    <w:p>
      <w:r>
        <w:t xml:space="preserve">Ermittler(ErmittlerNr, Name, Dienstgrad) · Fall(FallNr, Titel, Eroeffnet, Status, </w:t>
      </w:r>
      <w:r>
        <w:rPr>
          <w:rFonts w:ascii="IBM Plex Mono" w:hAnsi="IBM Plex Mono" w:eastAsia="IBM Plex Mono" w:cs="IBM Plex Mono"/>
          <w:b/>
          <w:color w:val="B3261E"/>
        </w:rPr>
        <w:t>↑</w:t>
      </w:r>
      <w:r>
        <w:rPr>
          <w:b/>
        </w:rPr>
        <w:t>LeiterNr</w:t>
      </w:r>
      <w:r>
        <w:t xml:space="preserve">) – Primärschlüssel unterstrichen. Der Fremdschlüssel gehört auf die </w:t>
      </w:r>
      <w:r>
        <w:rPr>
          <w:b/>
        </w:rPr>
        <w:t>n-Seite</w:t>
      </w:r>
      <w:r>
        <w:t>: Jeder Fall hat genau eine Leitung, also steht in jeder Fall-Zeile genau ein Wert. In Ermittler bräuchte eine Ermittlerin mit drei Fällen drei Werte in einer Zelle.</w:t>
      </w:r>
    </w:p>
    <w:p>
      <w:pPr>
        <w:pStyle w:val="Heading3"/>
      </w:pPr>
      <w:r>
        <w:t>W-A5-10 · n:m überführen</w:t>
      </w:r>
    </w:p>
    <w:p>
      <w:r>
        <w:t xml:space="preserve">Schueler(SchuelerNr, Name) · Kurs(KursNr, Titel) · </w:t>
      </w:r>
      <w:r>
        <w:rPr>
          <w:b/>
        </w:rPr>
        <w:t>belegt(</w:t>
      </w:r>
      <w:r>
        <w:rPr>
          <w:rFonts w:ascii="IBM Plex Mono" w:hAnsi="IBM Plex Mono" w:eastAsia="IBM Plex Mono" w:cs="IBM Plex Mono"/>
          <w:b/>
          <w:color w:val="B3261E"/>
        </w:rPr>
        <w:t>↑</w:t>
      </w:r>
      <w:r>
        <w:rPr>
          <w:b/>
        </w:rPr>
        <w:t xml:space="preserve">SchuelerNr, </w:t>
      </w:r>
      <w:r>
        <w:rPr>
          <w:rFonts w:ascii="IBM Plex Mono" w:hAnsi="IBM Plex Mono" w:eastAsia="IBM Plex Mono" w:cs="IBM Plex Mono"/>
          <w:b/>
          <w:color w:val="B3261E"/>
        </w:rPr>
        <w:t>↑</w:t>
      </w:r>
      <w:r>
        <w:rPr>
          <w:b/>
        </w:rPr>
        <w:t>KursNr, Note)</w:t>
      </w:r>
      <w:r>
        <w:t xml:space="preserve"> – eigene Relation, Primärschlüssel aus beiden Fremdschlüsseln (beide unterstrichen), die Note als Beziehungsattribut in diese Relation. Ein Fremdschlüssel in Schueler oder Kurs reicht bei n:m nicht.</w:t>
      </w:r>
    </w:p>
    <w:p>
      <w:pPr>
        <w:pStyle w:val="Heading3"/>
      </w:pPr>
      <w:r>
        <w:t>W-A5-11 · Rückwärts</w:t>
      </w:r>
    </w:p>
    <w:p>
      <w:r>
        <w:t xml:space="preserve">Entitätstypen </w:t>
      </w:r>
      <w:r>
        <w:rPr>
          <w:b/>
        </w:rPr>
        <w:t>Team</w:t>
      </w:r>
      <w:r>
        <w:t xml:space="preserve"> (TeamNr unterstrichen, Name) und </w:t>
      </w:r>
      <w:r>
        <w:rPr>
          <w:b/>
        </w:rPr>
        <w:t>Spiel</w:t>
      </w:r>
      <w:r>
        <w:t xml:space="preserve"> (SpielNr unterstrichen, Datum). Zwei Fremdschlüssel auf Team → </w:t>
      </w:r>
      <w:r>
        <w:rPr>
          <w:b/>
        </w:rPr>
        <w:t>zwei</w:t>
      </w:r>
      <w:r>
        <w:t xml:space="preserve"> Beziehungstypen: Team 1 — </w:t>
      </w:r>
      <w:r>
        <w:rPr>
          <w:i/>
        </w:rPr>
        <w:t>spieltHeim</w:t>
      </w:r>
      <w:r>
        <w:t xml:space="preserve"> — n Spiel und Team 1 — </w:t>
      </w:r>
      <w:r>
        <w:rPr>
          <w:i/>
        </w:rPr>
        <w:t>spieltGast</w:t>
      </w:r>
      <w:r>
        <w:t xml:space="preserve"> — n Spiel. HeimNr und GastNr werden im ER-Diagramm keine Attribute.</w:t>
      </w:r>
    </w:p>
    <w:p>
      <w:pPr>
        <w:pStyle w:val="Heading3"/>
      </w:pPr>
      <w:r>
        <w:t>W-A5-12 · Self-Join</w:t>
      </w:r>
    </w:p>
    <w:p>
      <w:r>
        <w:t xml:space="preserve">Die Tabelle Ermittler wird zweimal mit verschiedenen Aliasen verwendet und über </w:t>
      </w:r>
      <w:r>
        <w:rPr>
          <w:rFonts w:ascii="IBM Plex Mono" w:hAnsi="IBM Plex Mono" w:eastAsia="IBM Plex Mono" w:cs="IBM Plex Mono"/>
          <w:sz w:val="19"/>
        </w:rPr>
        <w:t>e.MentorNr = m.ErmittlerNr</w:t>
      </w:r>
      <w:r>
        <w:t xml:space="preserve"> verbunden. Ohne Aliase wäre </w:t>
      </w:r>
      <w:r>
        <w:rPr>
          <w:rFonts w:ascii="IBM Plex Mono" w:hAnsi="IBM Plex Mono" w:eastAsia="IBM Plex Mono" w:cs="IBM Plex Mono"/>
          <w:sz w:val="19"/>
        </w:rPr>
        <w:t>Name</w:t>
      </w:r>
      <w:r>
        <w:t xml:space="preserve"> mehrdeutig. Edda Lorenz und Ulf Witte erscheinen nicht – sie haben keinen Mentor (NULL).</w:t>
      </w:r>
    </w:p>
    <w:p>
      <w:pPr>
        <w:pStyle w:val="SQL-Code"/>
      </w:pPr>
      <w:r>
        <w:rPr>
          <w:vanish/>
        </w:rPr>
        <w:t>[[DD: db=detektei]]</w:t>
      </w:r>
      <w:r>
        <w:t>SELECT e.Name AS Ermittler, m.Name AS Mentor</w:t>
        <w:br/>
        <w:t>FROM Ermittler e, Ermittler m</w:t>
        <w:br/>
        <w:t>WHERE e.MentorNr = m.ErmittlerNr</w:t>
        <w:br/>
        <w:t>ORDER BY m.Name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67" w:right="680" w:bottom="567" w:left="68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Warm-up A5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5 · DER BAUPLAN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Warm-up-Karten Akte 5</dc:title>
  <dc:subject>Der Bauplan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5</vt:lpwstr>
  </property>
  <property fmtid="{D5CDD505-2E9C-101B-9397-08002B2CF9AE}" pid="3" name="DD-Art">
    <vt:lpwstr>warmup</vt:lpwstr>
  </property>
  <property fmtid="{D5CDD505-2E9C-101B-9397-08002B2CF9AE}" pid="4" name="DD-Fassung">
    <vt:lpwstr>schueler</vt:lpwstr>
  </property>
  <property fmtid="{D5CDD505-2E9C-101B-9397-08002B2CF9AE}" pid="5" name="DD-Kuer">
    <vt:lpwstr>nein</vt:lpwstr>
  </property>
  <property fmtid="{D5CDD505-2E9C-101B-9397-08002B2CF9AE}" pid="6" name="DD-Material">
    <vt:lpwstr>Warm-up A5</vt:lpwstr>
  </property>
</Properties>
</file>