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6 · ERMITTLUNG 6.1 · DS 12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Das Phantom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Datenschutz, Quasi-Identifikatoren, Datenschutz und Datensicherheit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NAME </w:t>
            </w:r>
            <w:r>
              <w:rPr>
                <w:color w:val="8F8270"/>
              </w:rPr>
              <w:t>______________________________</w:t>
            </w: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   DATUM </w:t>
            </w:r>
            <w:r>
              <w:rPr>
                <w:color w:val="8F8270"/>
              </w:rPr>
              <w:t>_____________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502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50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Die Stadt hat der Detektei „anonymisierte“ Exporte aus StadtRad, Stadtfest, Verein und WeserApp übergeben – dazu einen Auszug aus dem Einwohnerverzeichnis. Edda Lorenz: „Wenn das Phantom darin steckt, finden wir es. Die Frage ist nur: Dürfen wir das?“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Informationelle Selbstbestimmung und DSGVO-Grundsätze</w:t>
            </w:r>
          </w:p>
          <w:p>
            <w:pPr>
              <w:pStyle w:val="DDTabellentext"/>
              <w:spacing w:after="60"/>
            </w:pPr>
            <w:r>
              <w:rPr>
                <w:b/>
              </w:rPr>
              <w:t>Informationelle Selbstbestimmung:</w:t>
            </w:r>
            <w:r>
              <w:t xml:space="preserve"> Jede Person entscheidet grundsätzlich selbst über Preisgabe und Verwendung ihrer persönlichen Daten. Die Datenschutz-Grundverordnung (DSGVO) macht daraus Grundsätze: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1927"/>
              <w:gridCol w:w="3515"/>
              <w:gridCol w:w="3969"/>
            </w:tblGrid>
            <w:tr>
              <w:trPr>
                <w:tblHeader/>
              </w:trPr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Grundsatz</w:t>
                  </w:r>
                </w:p>
              </w:tc>
              <w:tc>
                <w:tcPr>
                  <w:tcW w:type="dxa" w:w="351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Bedeutung</w:t>
                  </w:r>
                </w:p>
              </w:tc>
              <w:tc>
                <w:tcPr>
                  <w:tcW w:type="dxa" w:w="396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Beispiel aus Weserstedt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Rechtmäßigkeit</w:t>
                  </w:r>
                  <w:r>
                    <w:rPr>
                      <w:sz w:val="17"/>
                    </w:rPr>
                    <w:t xml:space="preserve"> (Einwilligung)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Jede Verarbeitung braucht eine Rechtsgrundlage, z. B. eine freiwillige, informierte, widerrufbare Einwilligung.</w:t>
                  </w:r>
                </w:p>
              </w:tc>
              <w:tc>
                <w:tcPr>
                  <w:tcW w:type="dxa" w:w="396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StadtRad darf Fahrten für die Abrechnung speichern (Vertrag) – nicht für eine Fahndung.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Zweckbindung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Daten nur für den Zweck nutzen, für den sie erhoben wurden.</w:t>
                  </w:r>
                </w:p>
              </w:tc>
              <w:tc>
                <w:tcPr>
                  <w:tcW w:type="dxa" w:w="396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Vereinsdaten mit Fest- und Raddaten zusammenführen ist ein neuer Zweck.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Datenminimierung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Nur so viele Daten wie nötig.</w:t>
                  </w:r>
                </w:p>
              </w:tc>
              <w:tc>
                <w:tcPr>
                  <w:tcW w:type="dxa" w:w="396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Jahrgang und Tarif sind für eine Ausleihstatistik nicht nötig.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Transparenz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Betroffene wissen, wer was wozu verarbeitet.</w:t>
                  </w:r>
                </w:p>
              </w:tc>
              <w:tc>
                <w:tcPr>
                  <w:tcW w:type="dxa" w:w="396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Niemand wusste von der Weitergabe an die Detektei.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Speicherbegrenzung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Löschen, sobald der Zweck erfüllt ist.</w:t>
                  </w:r>
                </w:p>
              </w:tc>
              <w:tc>
                <w:tcPr>
                  <w:tcW w:type="dxa" w:w="396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Check-ins aus vielen Monaten statt Löschung nach dem Check-in.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besondere Kategorien</w:t>
                  </w:r>
                </w:p>
              </w:tc>
              <w:tc>
                <w:tcPr>
                  <w:tcW w:type="dxa" w:w="351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Gesundheits-, Religions-, biometrische Daten u. a. sind besonders geschützt.</w:t>
                  </w:r>
                </w:p>
              </w:tc>
              <w:tc>
                <w:tcPr>
                  <w:tcW w:type="dxa" w:w="396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Puls- und Schrittdaten einer Fitness-App.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Personenbezogen – pseudonym – anonym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personenbezogen:</w:t>
            </w:r>
            <w:r>
              <w:t xml:space="preserve"> Die Person ist bestimmt oder bestimmbar (Name, Adresse, Kundennummer …).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pseudonym:</w:t>
            </w:r>
            <w:r>
              <w:t xml:space="preserve"> Ein Kennzeichen ersetzt den Namen (</w:t>
            </w:r>
            <w:r>
              <w:rPr>
                <w:rFonts w:ascii="IBM Plex Mono" w:hAnsi="IBM Plex Mono" w:eastAsia="IBM Plex Mono" w:cs="IBM Plex Mono"/>
                <w:sz w:val="19"/>
              </w:rPr>
              <w:t>R-21C4</w:t>
            </w:r>
            <w:r>
              <w:t xml:space="preserve">, </w:t>
            </w:r>
            <w:r>
              <w:rPr>
                <w:rFonts w:ascii="IBM Plex Mono" w:hAnsi="IBM Plex Mono" w:eastAsia="IBM Plex Mono" w:cs="IBM Plex Mono"/>
                <w:sz w:val="19"/>
              </w:rPr>
              <w:t>WA-1288</w:t>
            </w:r>
            <w:r>
              <w:t xml:space="preserve">). Mit Zusatzwissen lässt sich die Person bestimmen – die Daten </w:t>
            </w:r>
            <w:r>
              <w:rPr>
                <w:b/>
              </w:rPr>
              <w:t>bleiben personenbezogen</w:t>
            </w:r>
            <w:r>
              <w:t>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anonym:</w:t>
            </w:r>
            <w:r>
              <w:t xml:space="preserve"> Keine Person ist mehr bestimmbar, z. B. eine Summe je Stadtteil über viele Menschen.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Quasi-Identifikatoren</w:t>
            </w:r>
            <w:r>
              <w:t xml:space="preserve"> wie Jahrgang, Stadtteil, Tarif oder Zeitmuster sind einzeln harmlos – zusammen bilden sie </w:t>
            </w:r>
            <w:r>
              <w:rPr>
                <w:b/>
              </w:rPr>
              <w:t>kleine Gruppen</w:t>
            </w:r>
            <w:r>
              <w:t>, oft mit nur einer Person (</w:t>
            </w:r>
            <w:r>
              <w:rPr>
                <w:b/>
              </w:rPr>
              <w:t>Re-Identifizierung</w:t>
            </w:r>
            <w:r>
              <w:t>).</w:t>
            </w:r>
          </w:p>
          <w:p>
            <w:pPr>
              <w:pStyle w:val="DDTabellentext"/>
              <w:spacing w:after="60"/>
            </w:pPr>
            <w:r>
              <w:t>Wie klein werden die Gruppen? Alle Einwohner mit Jahrgang 1988:</w:t>
            </w:r>
          </w:p>
          <w:p>
            <w:pPr>
              <w:pStyle w:val="SQL-Code"/>
            </w:pPr>
            <w:r>
              <w:t>SELECT Stadtteil, COUNT(*) AS Einwohner</w:t>
              <w:br/>
              <w:t>FROM Einwohner</w:t>
              <w:br/>
              <w:t>WHERE Jahrgang = 1988</w:t>
              <w:br/>
              <w:t>GROUP BY Stadtteil;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3061" w:type="dxa"/>
            </w:tblPr>
            <w:tblGrid>
              <w:gridCol w:w="1701"/>
              <w:gridCol w:w="1360"/>
            </w:tblGrid>
            <w:tr>
              <w:trPr>
                <w:tblHeader/>
              </w:trPr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Stadtteil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Einwohner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Hafenviertel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Mühlenfeld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Wer weiß, dass eine Person 1988 geboren ist und in Mühlenfeld wohnt, kennt sie – ohne Namen.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Datenschutz und Datensicherheit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1134"/>
              <w:gridCol w:w="4082"/>
              <w:gridCol w:w="4195"/>
            </w:tblGrid>
            <w:tr>
              <w:trPr>
                <w:tblHeader/>
              </w:trPr>
              <w:tc>
                <w:tcPr>
                  <w:tcW w:type="dxa" w:w="113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  <w:tc>
                <w:tcPr>
                  <w:tcW w:type="dxa" w:w="408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Datenschutz</w:t>
                  </w:r>
                </w:p>
              </w:tc>
              <w:tc>
                <w:tcPr>
                  <w:tcW w:type="dxa" w:w="419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Datensicherheit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schützt …</w:t>
                  </w:r>
                </w:p>
              </w:tc>
              <w:tc>
                <w:tcPr>
                  <w:tcW w:type="dxa" w:w="408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Personen</w:t>
                  </w:r>
                  <w:r>
                    <w:rPr>
                      <w:sz w:val="17"/>
                    </w:rPr>
                    <w:t xml:space="preserve"> und ihr Recht auf informationelle Selbstbestimmung</w:t>
                  </w:r>
                </w:p>
              </w:tc>
              <w:tc>
                <w:tcPr>
                  <w:tcW w:type="dxa" w:w="419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 xml:space="preserve">die </w:t>
                  </w:r>
                  <w:r>
                    <w:rPr>
                      <w:b/>
                      <w:sz w:val="17"/>
                    </w:rPr>
                    <w:t>Daten</w:t>
                  </w:r>
                  <w:r>
                    <w:rPr>
                      <w:sz w:val="17"/>
                    </w:rPr>
                    <w:t xml:space="preserve"> selbst: Vertraulichkeit, Integrität (unverfälscht), Verfügbarkeit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fragt …</w:t>
                  </w:r>
                </w:p>
              </w:tc>
              <w:tc>
                <w:tcPr>
                  <w:tcW w:type="dxa" w:w="408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i/>
                      <w:sz w:val="17"/>
                    </w:rPr>
                    <w:t>Dürfen</w:t>
                  </w:r>
                  <w:r>
                    <w:rPr>
                      <w:sz w:val="17"/>
                    </w:rPr>
                    <w:t xml:space="preserve"> diese Daten überhaupt so verarbeitet werden?</w:t>
                  </w:r>
                </w:p>
              </w:tc>
              <w:tc>
                <w:tcPr>
                  <w:tcW w:type="dxa" w:w="419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 xml:space="preserve">Sind die Daten vor Verlust, Manipulation und unbefugtem Zugriff </w:t>
                  </w:r>
                  <w:r>
                    <w:rPr>
                      <w:i/>
                      <w:sz w:val="17"/>
                    </w:rPr>
                    <w:t>sicher</w:t>
                  </w:r>
                  <w:r>
                    <w:rPr>
                      <w:sz w:val="17"/>
                    </w:rPr>
                    <w:t>?</w:t>
                  </w:r>
                </w:p>
              </w:tc>
            </w:tr>
            <w:tr>
              <w:tc>
                <w:tcPr>
                  <w:tcW w:type="dxa" w:w="113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Beispiele</w:t>
                  </w:r>
                </w:p>
              </w:tc>
              <w:tc>
                <w:tcPr>
                  <w:tcW w:type="dxa" w:w="408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Zweckbindung, Einwilligung, Datenminimierung, Löschfristen</w:t>
                  </w:r>
                </w:p>
              </w:tc>
              <w:tc>
                <w:tcPr>
                  <w:tcW w:type="dxa" w:w="419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Verschlüsselung, Zugriffsrechte, Passwörter, Protokolle, Backups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Beides hängt zusammen: Ein nie gesperrter Zugang (Datensicherheit) ermöglichte die Manipulation des Fundbuchs – und verletzt damit auch den Schutz der Personen darin.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Technische und organisatorische Maßnahmen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2948"/>
              <w:gridCol w:w="6463"/>
            </w:tblGrid>
            <w:tr>
              <w:trPr>
                <w:tblHeader/>
              </w:trPr>
              <w:tc>
                <w:tcPr>
                  <w:tcW w:type="dxa" w:w="294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Maßnahme</w:t>
                  </w:r>
                </w:p>
              </w:tc>
              <w:tc>
                <w:tcPr>
                  <w:tcW w:type="dxa" w:w="6463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So wirkt sie</w:t>
                  </w:r>
                </w:p>
              </w:tc>
            </w:tr>
            <w:tr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Aggregation</w:t>
                  </w:r>
                </w:p>
              </w:tc>
              <w:tc>
                <w:tcPr>
                  <w:tcW w:type="dxa" w:w="646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nur Summen veröffentlichen (Ausleihen je Station und Stunde) statt einzelner Fahrten</w:t>
                  </w:r>
                </w:p>
              </w:tc>
            </w:tr>
            <w:tr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Mindestgruppengröße / Vergröberung</w:t>
                  </w:r>
                </w:p>
              </w:tc>
              <w:tc>
                <w:tcPr>
                  <w:tcW w:type="dxa" w:w="646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keine Gruppen unter z. B. 5 Personen; Jahrzehnt statt Jahrgang, Stadtteil statt Adresse</w:t>
                  </w:r>
                </w:p>
              </w:tc>
            </w:tr>
            <w:tr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Pseudonymisierung</w:t>
                  </w:r>
                  <w:r>
                    <w:rPr>
                      <w:sz w:val="17"/>
                    </w:rPr>
                    <w:t xml:space="preserve"> mit wechselnden Kennzeichen</w:t>
                  </w:r>
                </w:p>
              </w:tc>
              <w:tc>
                <w:tcPr>
                  <w:tcW w:type="dxa" w:w="646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Zuordnungstabelle getrennt und geschützt; neues Token je Export</w:t>
                  </w:r>
                </w:p>
              </w:tc>
            </w:tr>
            <w:tr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Zugriffsrechte, Verschlüsselung</w:t>
                  </w:r>
                </w:p>
              </w:tc>
              <w:tc>
                <w:tcPr>
                  <w:tcW w:type="dxa" w:w="646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nur Berechtigte sehen die Daten; alte Zugänge sperren</w:t>
                  </w:r>
                </w:p>
              </w:tc>
            </w:tr>
            <w:tr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7"/>
                    </w:rPr>
                    <w:t>Löschfristen</w:t>
                  </w:r>
                </w:p>
              </w:tc>
              <w:tc>
                <w:tcPr>
                  <w:tcW w:type="dxa" w:w="646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Check-ins nach z. B. 7 Tagen löschen (Speicherbegrenzung)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5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Chancen und Risiken automatisierter Datenanalyse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Chancen:</w:t>
            </w:r>
            <w:r>
              <w:t xml:space="preserve"> Verkehrsplanung (wo fehlen Räder?), Betrug und Manipulation aufdecken, Muster erkennen, die kein Mensch in Tabellen sähe.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Risiken:</w:t>
            </w:r>
            <w:r>
              <w:t xml:space="preserve"> </w:t>
            </w:r>
            <w:r>
              <w:rPr>
                <w:b/>
              </w:rPr>
              <w:t>Profilbildung</w:t>
            </w:r>
            <w:r>
              <w:t xml:space="preserve"> (Bewegungs- und Freizeitmuster, Wohnadresse aus Standortdaten), Unbeteiligte geraten unter Verdacht, Daten werden für neue Zwecke missbraucht.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Ordne jeder Situation den Grundsatz zu, der verletzt wird (Beweisstück 1).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030" w:type="dxa"/>
            </w:tblPr>
            <w:tblGrid>
              <w:gridCol w:w="5103"/>
              <w:gridCol w:w="1927"/>
            </w:tblGrid>
            <w:tr>
              <w:trPr>
                <w:tblHeader/>
              </w:trPr>
              <w:tc>
                <w:tcPr>
                  <w:tcW w:type="dxa" w:w="5102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Situation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verletzter Grundsatz</w:t>
                  </w:r>
                </w:p>
              </w:tc>
            </w:tr>
            <w:tr>
              <w:tc>
                <w:tcPr>
                  <w:tcW w:type="dxa" w:w="510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a) Der TuS-Export enthält Geburtsjahr und Stadtteil jedes Mitglieds, obwohl die Stadt nur wissen wollte, wie groß die Abteilungen sind.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510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b) Die Kartenzahlungen vom Stadtfest dienten der Abrechnung der Stände – jetzt prüft die Detektei damit Alibis.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510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c) In den Hinweisen der WeserApp steht nirgends, dass sie nachts die nächstgelegene Adresse speichert.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510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d) Im Fundbuch stehen noch Name und Telefonnummer von Personen, die 2019 Fundsachen abgeholt haben.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510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e) Die Stadt gibt das Einwohnerverzeichnis an eine private Detektei – ohne Einwilligung und ohne Gesetz, das es erlaubt.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Erläutere</w:t>
            </w:r>
            <w:r>
              <w:t xml:space="preserve"> an den Ausschnitten, warum die Pseudonymisierung der Exporte die Personen nicht anonym macht. Gehe auf Quasi-Identifikatoren und die Gruppengröße ein.</w:t>
            </w:r>
          </w:p>
          <w:p>
            <w:pPr>
              <w:pStyle w:val="DDTabellentext"/>
              <w:spacing w:after="60"/>
            </w:pPr>
            <w:r>
              <w:t>RadExport (alle Fahrten des Tokens R-D3A1):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030" w:type="dxa"/>
            </w:tblPr>
            <w:tblGrid>
              <w:gridCol w:w="1304"/>
              <w:gridCol w:w="1020"/>
              <w:gridCol w:w="1077"/>
              <w:gridCol w:w="623"/>
              <w:gridCol w:w="1474"/>
              <w:gridCol w:w="1530"/>
            </w:tblGrid>
            <w:tr>
              <w:trPr>
                <w:tblHeader/>
              </w:trPr>
              <w:tc>
                <w:tcPr>
                  <w:tcW w:type="dxa" w:w="130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KundenToken</w:t>
                  </w:r>
                </w:p>
              </w:tc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Jahrgang</w:t>
                  </w:r>
                </w:p>
              </w:tc>
              <w:tc>
                <w:tcPr>
                  <w:tcW w:type="dxa" w:w="107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Stadtteil</w:t>
                  </w:r>
                </w:p>
              </w:tc>
              <w:tc>
                <w:tcPr>
                  <w:tcW w:type="dxa" w:w="62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Tarif</w:t>
                  </w:r>
                </w:p>
              </w:tc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StartStation</w:t>
                  </w:r>
                </w:p>
              </w:tc>
              <w:tc>
                <w:tcPr>
                  <w:tcW w:type="dxa" w:w="153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Start</w:t>
                  </w:r>
                </w:p>
              </w:tc>
            </w:tr>
            <w:tr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R-D3A1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1976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Altstadt</w:t>
                  </w:r>
                </w:p>
              </w:tc>
              <w:tc>
                <w:tcPr>
                  <w:tcW w:type="dxa" w:w="62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Plus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Fischmarkt</w:t>
                  </w:r>
                </w:p>
              </w:tc>
              <w:tc>
                <w:tcPr>
                  <w:tcW w:type="dxa" w:w="153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2026-09-18 10:53</w:t>
                  </w:r>
                </w:p>
              </w:tc>
            </w:tr>
            <w:tr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R-D3A1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1976</w:t>
                  </w:r>
                </w:p>
              </w:tc>
              <w:tc>
                <w:tcPr>
                  <w:tcW w:type="dxa" w:w="107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Altstadt</w:t>
                  </w:r>
                </w:p>
              </w:tc>
              <w:tc>
                <w:tcPr>
                  <w:tcW w:type="dxa" w:w="62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Plus</w:t>
                  </w:r>
                </w:p>
              </w:tc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Rathaus</w:t>
                  </w:r>
                </w:p>
              </w:tc>
              <w:tc>
                <w:tcPr>
                  <w:tcW w:type="dxa" w:w="153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2026-09-20 17:42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VereinExport (Ausschnitt):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5329" w:type="dxa"/>
            </w:tblPr>
            <w:tblGrid>
              <w:gridCol w:w="1474"/>
              <w:gridCol w:w="1360"/>
              <w:gridCol w:w="1247"/>
              <w:gridCol w:w="1247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MitgliedToken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Geburtsjahr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Abteilung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Stadtteil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V-5245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7"/>
                    </w:rPr>
                    <w:t>1976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Tennis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Altstadt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Einwohnerverzeichnis:</w:t>
            </w:r>
          </w:p>
          <w:p>
            <w:pPr>
              <w:pStyle w:val="SQL-Code"/>
            </w:pPr>
            <w:r>
              <w:t>SELECT COUNT(*) AS Personen</w:t>
              <w:br/>
              <w:t>FROM Einwohner</w:t>
              <w:br/>
              <w:t>WHERE Jahrgang = 1976</w:t>
              <w:br/>
              <w:t xml:space="preserve">  AND Stadtteil = 'Altstadt';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1247" w:type="dxa"/>
            </w:tblPr>
            <w:tblGrid>
              <w:gridCol w:w="1247"/>
            </w:tblGrid>
            <w:tr>
              <w:trPr>
                <w:tblHeader/>
              </w:trPr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Personen</w:t>
                  </w:r>
                </w:p>
              </w:tc>
            </w:tr>
            <w:tr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Ermittle im </w:t>
            </w:r>
            <w:r>
              <w:rPr>
                <w:b/>
              </w:rPr>
              <w:t>Schlussplädoyer</w:t>
            </w:r>
            <w:r>
              <w:t xml:space="preserve"> (A6-E1-09 … 14) Schritt für Schritt und halte jedes Indiz fest.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030" w:type="dxa"/>
            </w:tblPr>
            <w:tblGrid>
              <w:gridCol w:w="850"/>
              <w:gridCol w:w="3005"/>
              <w:gridCol w:w="3175"/>
            </w:tblGrid>
            <w:tr>
              <w:trPr>
                <w:tblHeader/>
              </w:trPr>
              <w:tc>
                <w:tcPr>
                  <w:tcW w:type="dxa" w:w="85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Spur</w:t>
                  </w:r>
                </w:p>
              </w:tc>
              <w:tc>
                <w:tcPr>
                  <w:tcW w:type="dxa" w:w="300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Frage</w:t>
                  </w:r>
                </w:p>
              </w:tc>
              <w:tc>
                <w:tcPr>
                  <w:tcW w:type="dxa" w:w="3175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Indiz (dein Ergebnis)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Spur 1</w:t>
                  </w:r>
                </w:p>
              </w:tc>
              <w:tc>
                <w:tcPr>
                  <w:tcW w:type="dxa" w:w="300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Welche Fahrten begannen vom 08.09. bis 12.09. an der Hafenkante?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Spur 2</w:t>
                  </w:r>
                </w:p>
              </w:tc>
              <w:tc>
                <w:tcPr>
                  <w:tcW w:type="dxa" w:w="300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Wie viele verschiedene Tokens haben 1988 + Hafenviertel + Plus?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Spur 3</w:t>
                  </w:r>
                </w:p>
              </w:tc>
              <w:tc>
                <w:tcPr>
                  <w:tcW w:type="dxa" w:w="300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Welches Gerät war zur selben Zeit am selben Ort?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Spur 4</w:t>
                  </w:r>
                </w:p>
              </w:tc>
              <w:tc>
                <w:tcPr>
                  <w:tcW w:type="dxa" w:w="300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Wo hat das Gerät sonst eingecheckt?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Spur 5</w:t>
                  </w:r>
                </w:p>
              </w:tc>
              <w:tc>
                <w:tcPr>
                  <w:tcW w:type="dxa" w:w="300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Welches Vereinsmitglied hat dieselben Merkmale?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Spur 6</w:t>
                  </w:r>
                </w:p>
              </w:tc>
              <w:tc>
                <w:tcPr>
                  <w:tcW w:type="dxa" w:w="300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Wer wohnt an der Adresse, an der das Gerät nachts eincheckt?</w:t>
                  </w:r>
                </w:p>
              </w:tc>
              <w:tc>
                <w:tcPr>
                  <w:tcW w:type="dxa" w:w="3175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Beurteile</w:t>
            </w:r>
            <w:r>
              <w:t xml:space="preserve"> die drei Auszüge aus den Datenschutzhinweisen der WeserApp jeweils anhand eines passenden Grundsatzes.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030" w:type="dxa"/>
            </w:tblPr>
            <w:tblGrid>
              <w:gridCol w:w="1417"/>
              <w:gridCol w:w="5613"/>
            </w:tblGrid>
            <w:tr>
              <w:trPr>
                <w:tblHeader/>
              </w:trPr>
              <w:tc>
                <w:tcPr>
                  <w:tcW w:type="dxa" w:w="141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Auszug</w:t>
                  </w:r>
                </w:p>
              </w:tc>
              <w:tc>
                <w:tcPr>
                  <w:tcW w:type="dxa" w:w="5613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6"/>
                    </w:rPr>
                    <w:t>Datenschutzhinweis der WeserApp (fiktiv)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A · Werbung</w:t>
                  </w:r>
                </w:p>
              </w:tc>
              <w:tc>
                <w:tcPr>
                  <w:tcW w:type="dxa" w:w="561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„Wir nutzen deine Check-ins, um dir passende Angebote unserer Partner anzuzeigen. Mit der Nutzung der App erklärst du dich damit einverstanden.“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B · Standort</w:t>
                  </w:r>
                </w:p>
              </w:tc>
              <w:tc>
                <w:tcPr>
                  <w:tcW w:type="dxa" w:w="561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„Die App erfasst deinen Standort auch im Hintergrund. Ist kein markierter Ort in der Nähe, speichern wir die nächstgelegene Adresse. Check-ins bewahren wir zur Verbesserung unserer Dienste auf.“</w:t>
                  </w:r>
                </w:p>
              </w:tc>
            </w:tr>
            <w:tr>
              <w:tc>
                <w:tcPr>
                  <w:tcW w:type="dxa" w:w="141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C · Interaktionen</w:t>
                  </w:r>
                </w:p>
              </w:tc>
              <w:tc>
                <w:tcPr>
                  <w:tcW w:type="dxa" w:w="561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7"/>
                    </w:rPr>
                    <w:t>„Wir werten aus, welche Orte du wie oft besuchst und welche Funktionen du nutzt, und erstellen daraus ein Nutzungsprofil. Daten können an Stellen der Stadtverwaltung weitergegeben werden.“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Erörtere</w:t>
            </w:r>
            <w:r>
              <w:t xml:space="preserve"> die Aussage: „Die Detektei hat das Phantom nur gefunden, weil sie selbst alle Bürger durchleuchtet hat.“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</w:t>
            </w:r>
          </w:p>
          <w:p>
            <w:pPr>
              <w:pStyle w:val="DDTabellentext"/>
            </w:pPr>
            <w:r>
              <w:t xml:space="preserve">Die Stadt plant, die Ausleihdaten von StadtRad (Kundennummer, Jahrgang, Stadtteil, Start- und Zielstation, Zeitpunkte) an ein Unternehmen für personalisierte Werbung weiterzugeben. </w:t>
            </w:r>
            <w:r>
              <w:rPr>
                <w:b/>
              </w:rPr>
              <w:t>Beurteilen</w:t>
            </w:r>
            <w:r>
              <w:t xml:space="preserve"> Sie dieses Vorhaben unter Bezug auf zwei Grundsätze des Datenschutzes. [4 BE]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6.1 „Das Phantom“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zuerst das </w:t>
            </w:r>
            <w:r>
              <w:rPr>
                <w:b/>
              </w:rPr>
              <w:t>Schlussplädoyer</w:t>
            </w:r>
            <w:r>
              <w:t xml:space="preserve"> A6-E1-09 … 14, dann A6-E1-01 … 08 (07/08 als Kernpunkte-Aufgaben, Rest als Hausaufgabe) · danach </w:t>
            </w:r>
            <w:r>
              <w:rPr>
                <w:b/>
              </w:rPr>
              <w:t>Verhör 6</w:t>
            </w:r>
            <w:r>
              <w:t xml:space="preserve"> · Fitness-App (15 min)  ·  </w:t>
            </w:r>
            <w:r>
              <w:rPr>
                <w:b/>
              </w:rPr>
              <w:t>Werkzeug:</w:t>
            </w:r>
            <w:r>
              <w:t xml:space="preserve"> Ermittlungskonsole mit Pinnwand</w:t>
            </w:r>
          </w:p>
          <w:p>
            <w:pPr>
              <w:pStyle w:val="DDTabellentext"/>
            </w:pPr>
            <w:r>
              <w:t>Cold Case im Lab: A6-E1-CC „Wie anonym ist Weserstedt?“ (ohne Punkte).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Mindestgruppengröße</w:t>
            </w:r>
          </w:p>
          <w:p>
            <w:pPr>
              <w:pStyle w:val="DDTabellentext"/>
            </w:pPr>
            <w:r>
              <w:t xml:space="preserve">Schlage eine Regel vor, ab welcher Gruppengröße die Stadt Zahlen aus dem Einwohnerverzeichnis (gruppiert nach Jahrgang und Stadtteil) veröffentlichen darf. </w:t>
            </w:r>
            <w:r>
              <w:rPr>
                <w:b/>
              </w:rPr>
              <w:t>Prüfe</w:t>
            </w:r>
            <w:r>
              <w:t xml:space="preserve"> deine Regel per SQL an der Tabelle Einwohner – und finde eine Vergröberung, mit der mehr Gruppen groß genug werden.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6.1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6 · DATENSPUREN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Phantom</dc:title>
  <dc:subject>Datenspuren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6</vt:lpwstr>
  </property>
  <property fmtid="{D5CDD505-2E9C-101B-9397-08002B2CF9AE}" pid="3" name="DD-Art">
    <vt:lpwstr>ab</vt:lpwstr>
  </property>
  <property fmtid="{D5CDD505-2E9C-101B-9397-08002B2CF9AE}" pid="4" name="DD-Datenbank">
    <vt:lpwstr>datenspuren</vt:lpwstr>
  </property>
  <property fmtid="{D5CDD505-2E9C-101B-9397-08002B2CF9AE}" pid="5" name="DD-Fassung">
    <vt:lpwstr>schueler</vt:lpwstr>
  </property>
  <property fmtid="{D5CDD505-2E9C-101B-9397-08002B2CF9AE}" pid="6" name="DD-Kompetenzen">
    <vt:lpwstr>{"AB 6.1/1": ["DB-K44"], "AB 6.1/2": ["DB-K46"], "AB 6.1/3": ["DB-K24", "DB-K26"], "AB 6.1/4": ["DB-K45", "DB-K44"], "AB 6.1/5": ["DB-K46", "DB-K45"], "AB 6.1/Abi-Ecke": ["DB-K45", "DB-K44"], "AB 6.1/Cold Case": ["DB-K46"]}</vt:lpwstr>
  </property>
  <property fmtid="{D5CDD505-2E9C-101B-9397-08002B2CF9AE}" pid="7" name="DD-Kuer">
    <vt:lpwstr>nein</vt:lpwstr>
  </property>
  <property fmtid="{D5CDD505-2E9C-101B-9397-08002B2CF9AE}" pid="8" name="DD-Material">
    <vt:lpwstr>AB 6.1</vt:lpwstr>
  </property>
</Properties>
</file>