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10546"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546"/>
      </w:tblGrid>
      <w:tr>
        <w:trPr>
          <w:trHeight w:val="7285" w:hRule="exact"/>
          <w:cantSplit/>
        </w:trPr>
        <w:tc>
          <w:tcPr>
            <w:tcW w:type="dxa" w:w="10545"/>
            <w:tcMar>
              <w:top w:w="283" w:type="dxa"/>
              <w:left w:w="397" w:type="dxa"/>
              <w:bottom w:w="227" w:type="dxa"/>
              <w:right w:w="397" w:type="dxa"/>
            </w:tcMar>
            <w:tcBorders>
              <w:bottom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W-A6-01 · DATENSCHUTZ</w:t>
            </w:r>
            <w:r>
              <w:rPr>
                <w:rFonts w:ascii="IBM Plex Mono" w:hAnsi="IBM Plex Mono" w:eastAsia="IBM Plex Mono" w:cs="IBM Plex Mono"/>
                <w:b/>
                <w:color w:val="46525E"/>
                <w:sz w:val="15"/>
                <w:spacing w:val="16"/>
              </w:rPr>
              <w:tab/>
              <w:t>2 MIN</w:t>
            </w:r>
          </w:p>
          <w:p>
            <w:pPr>
              <w:pStyle w:val="DDTabellentext"/>
              <w:spacing w:before="80" w:after="120"/>
            </w:pPr>
            <w:r>
              <w:rPr>
                <w:rFonts w:ascii="Barlow Condensed SemiBold" w:hAnsi="Barlow Condensed SemiBold" w:eastAsia="Barlow Condensed SemiBold" w:cs="Barlow Condensed SemiBold"/>
                <w:sz w:val="34"/>
              </w:rPr>
              <w:t>Grundsatz erkennen</w:t>
            </w:r>
          </w:p>
          <w:p>
            <w:pPr>
              <w:pStyle w:val="DDTabellentext"/>
              <w:spacing w:after="60"/>
            </w:pPr>
            <w:r>
              <w:t>Gib zu jeder Situation den betroffenen DSGVO-Grundsatz an:</w:t>
            </w:r>
          </w:p>
          <w:p>
            <w:pPr>
              <w:pStyle w:val="DDTabellentext"/>
              <w:tabs>
                <w:tab w:pos="312" w:val="left"/>
              </w:tabs>
              <w:spacing w:after="40"/>
              <w:ind w:left="312" w:hanging="255"/>
            </w:pPr>
            <w:r>
              <w:rPr>
                <w:color w:val="B3261E"/>
              </w:rPr>
              <w:t>▸</w:t>
              <w:tab/>
            </w:r>
            <w:r>
              <w:t>Die Rad-Daten von StadtRad, erhoben für die Abrechnung, werden für eine Fahndung genutzt.</w:t>
            </w:r>
          </w:p>
          <w:p>
            <w:pPr>
              <w:pStyle w:val="DDTabellentext"/>
              <w:tabs>
                <w:tab w:pos="312" w:val="left"/>
              </w:tabs>
              <w:spacing w:after="40"/>
              <w:ind w:left="312" w:hanging="255"/>
            </w:pPr>
            <w:r>
              <w:rPr>
                <w:color w:val="B3261E"/>
              </w:rPr>
              <w:t>▸</w:t>
              <w:tab/>
            </w:r>
            <w:r>
              <w:t>Die WeserApp hebt minutengenaue Check-ins über Jahre auf.</w:t>
            </w:r>
          </w:p>
          <w:p>
            <w:pPr>
              <w:pStyle w:val="DDTabellentext"/>
              <w:tabs>
                <w:tab w:pos="312" w:val="left"/>
              </w:tabs>
              <w:spacing w:after="40"/>
              <w:ind w:left="312" w:hanging="255"/>
            </w:pPr>
            <w:r>
              <w:rPr>
                <w:color w:val="B3261E"/>
              </w:rPr>
              <w:t>▸</w:t>
              <w:tab/>
            </w:r>
            <w:r>
              <w:t>Für eine Ausleihstatistik je Station veröffentlicht die Stadt auch Jahrgang und Tarif.</w:t>
            </w:r>
          </w:p>
          <w:p>
            <w:pPr>
              <w:pStyle w:val="DDTabellentext"/>
              <w:spacing w:before="160"/>
            </w:pPr>
            <w:r>
              <w:rPr>
                <w:rFonts w:ascii="IBM Plex Mono" w:hAnsi="IBM Plex Mono" w:eastAsia="IBM Plex Mono" w:cs="IBM Plex Mono"/>
                <w:color w:val="58626D"/>
                <w:sz w:val="13"/>
                <w:spacing w:val="16"/>
              </w:rPr>
              <w:t>Kompetenz K44</w:t>
            </w:r>
          </w:p>
        </w:tc>
      </w:tr>
      <w:tr>
        <w:trPr>
          <w:trHeight w:val="7285" w:hRule="exact"/>
          <w:cantSplit/>
        </w:trPr>
        <w:tc>
          <w:tcPr>
            <w:tcW w:type="dxa" w:w="10545"/>
            <w:tcMar>
              <w:top w:w="283" w:type="dxa"/>
              <w:left w:w="397" w:type="dxa"/>
              <w:bottom w:w="227" w:type="dxa"/>
              <w:right w:w="397" w:type="dxa"/>
            </w:tcMar>
            <w:tcBorders>
              <w:top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W-A6-02 · DATENSCHUTZ</w:t>
            </w:r>
            <w:r>
              <w:rPr>
                <w:rFonts w:ascii="IBM Plex Mono" w:hAnsi="IBM Plex Mono" w:eastAsia="IBM Plex Mono" w:cs="IBM Plex Mono"/>
                <w:b/>
                <w:color w:val="46525E"/>
                <w:sz w:val="15"/>
                <w:spacing w:val="16"/>
              </w:rPr>
              <w:tab/>
              <w:t>2 MIN</w:t>
            </w:r>
          </w:p>
          <w:p>
            <w:pPr>
              <w:pStyle w:val="DDTabellentext"/>
              <w:spacing w:before="80" w:after="120"/>
            </w:pPr>
            <w:r>
              <w:rPr>
                <w:rFonts w:ascii="Barlow Condensed SemiBold" w:hAnsi="Barlow Condensed SemiBold" w:eastAsia="Barlow Condensed SemiBold" w:cs="Barlow Condensed SemiBold"/>
                <w:sz w:val="34"/>
              </w:rPr>
              <w:t>Quasi-Identifikator</w:t>
            </w:r>
          </w:p>
          <w:p>
            <w:pPr>
              <w:pStyle w:val="DDTabellentext"/>
              <w:spacing w:after="60"/>
            </w:pPr>
            <w:r>
              <w:t>Im RadExport steht kein Name, nur ein Token. Erkläre, warum Jahrgang + Stadtteil + Tarif eine Person trotzdem identifizieren können.</w:t>
            </w:r>
          </w:p>
          <w:p>
            <w:pPr>
              <w:pStyle w:val="DDTabellentext"/>
              <w:spacing w:before="160"/>
            </w:pPr>
            <w:r>
              <w:rPr>
                <w:rFonts w:ascii="IBM Plex Mono" w:hAnsi="IBM Plex Mono" w:eastAsia="IBM Plex Mono" w:cs="IBM Plex Mono"/>
                <w:color w:val="58626D"/>
                <w:sz w:val="13"/>
                <w:spacing w:val="16"/>
              </w:rPr>
              <w:t>Kompetenz K46</w:t>
            </w:r>
          </w:p>
        </w:tc>
      </w:tr>
    </w:tbl>
    <w:p>
      <w:r>
        <w:br w:type="page"/>
      </w:r>
    </w:p>
    <w:tbl>
      <w:tblPr>
        <w:tblLayout w:type="fixed"/>
        <w:tblLook w:firstColumn="1" w:firstRow="1" w:lastColumn="0" w:lastRow="0" w:noHBand="0" w:noVBand="1" w:val="04A0"/>
        <w:tblW w:w="10546"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546"/>
      </w:tblGrid>
      <w:tr>
        <w:trPr>
          <w:trHeight w:val="7285" w:hRule="exact"/>
          <w:cantSplit/>
        </w:trPr>
        <w:tc>
          <w:tcPr>
            <w:tcW w:type="dxa" w:w="10545"/>
            <w:tcMar>
              <w:top w:w="283" w:type="dxa"/>
              <w:left w:w="397" w:type="dxa"/>
              <w:bottom w:w="227" w:type="dxa"/>
              <w:right w:w="397" w:type="dxa"/>
            </w:tcMar>
            <w:tcBorders>
              <w:bottom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W-A6-03 · DATENSCHUTZ</w:t>
            </w:r>
            <w:r>
              <w:rPr>
                <w:rFonts w:ascii="IBM Plex Mono" w:hAnsi="IBM Plex Mono" w:eastAsia="IBM Plex Mono" w:cs="IBM Plex Mono"/>
                <w:b/>
                <w:color w:val="46525E"/>
                <w:sz w:val="15"/>
                <w:spacing w:val="16"/>
              </w:rPr>
              <w:tab/>
              <w:t>2 MIN</w:t>
            </w:r>
          </w:p>
          <w:p>
            <w:pPr>
              <w:pStyle w:val="DDTabellentext"/>
              <w:spacing w:before="80" w:after="120"/>
            </w:pPr>
            <w:r>
              <w:rPr>
                <w:rFonts w:ascii="Barlow Condensed SemiBold" w:hAnsi="Barlow Condensed SemiBold" w:eastAsia="Barlow Condensed SemiBold" w:cs="Barlow Condensed SemiBold"/>
                <w:sz w:val="34"/>
              </w:rPr>
              <w:t>Pseudonym oder anonym?</w:t>
            </w:r>
          </w:p>
          <w:p>
            <w:pPr>
              <w:pStyle w:val="DDTabellentext"/>
              <w:spacing w:after="60"/>
            </w:pPr>
            <w:r>
              <w:t>Entscheide und begründe, ob der Datensatz pseudonym oder anonym ist:</w:t>
            </w:r>
          </w:p>
          <w:p>
            <w:pPr>
              <w:pStyle w:val="DDTabellentext"/>
              <w:tabs>
                <w:tab w:pos="312" w:val="left"/>
              </w:tabs>
              <w:spacing w:after="40"/>
              <w:ind w:left="312" w:hanging="255"/>
            </w:pPr>
            <w:r>
              <w:rPr>
                <w:color w:val="B3261E"/>
              </w:rPr>
              <w:t>▸</w:t>
              <w:tab/>
            </w:r>
            <w:r>
              <w:rPr>
                <w:rFonts w:ascii="IBM Plex Mono" w:hAnsi="IBM Plex Mono" w:eastAsia="IBM Plex Mono" w:cs="IBM Plex Mono"/>
                <w:sz w:val="19"/>
              </w:rPr>
              <w:t>WA-5208 | Lindenweg 12 | 2026-09-14 18:20</w:t>
            </w:r>
          </w:p>
          <w:p>
            <w:pPr>
              <w:pStyle w:val="DDTabellentext"/>
              <w:tabs>
                <w:tab w:pos="312" w:val="left"/>
              </w:tabs>
              <w:spacing w:after="40"/>
              <w:ind w:left="312" w:hanging="255"/>
            </w:pPr>
            <w:r>
              <w:rPr>
                <w:color w:val="B3261E"/>
              </w:rPr>
              <w:t>▸</w:t>
              <w:tab/>
            </w:r>
            <w:r>
              <w:t>„Am Stadtfest-Wochenende gab es am Festplatz insgesamt 21 Check-ins.“</w:t>
            </w:r>
          </w:p>
          <w:p>
            <w:pPr>
              <w:pStyle w:val="DDTabellentext"/>
              <w:spacing w:before="160"/>
            </w:pPr>
            <w:r>
              <w:rPr>
                <w:rFonts w:ascii="IBM Plex Mono" w:hAnsi="IBM Plex Mono" w:eastAsia="IBM Plex Mono" w:cs="IBM Plex Mono"/>
                <w:color w:val="58626D"/>
                <w:sz w:val="13"/>
                <w:spacing w:val="16"/>
              </w:rPr>
              <w:t>Kompetenz K46</w:t>
            </w:r>
          </w:p>
        </w:tc>
      </w:tr>
      <w:tr>
        <w:trPr>
          <w:trHeight w:val="7285" w:hRule="exact"/>
          <w:cantSplit/>
        </w:trPr>
        <w:tc>
          <w:tcPr>
            <w:tcW w:type="dxa" w:w="10545"/>
            <w:tcMar>
              <w:top w:w="283" w:type="dxa"/>
              <w:left w:w="397" w:type="dxa"/>
              <w:bottom w:w="227" w:type="dxa"/>
              <w:right w:w="397" w:type="dxa"/>
            </w:tcMar>
            <w:tcBorders>
              <w:top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W-A6-04 · DATENSCHUTZ</w:t>
            </w:r>
            <w:r>
              <w:rPr>
                <w:rFonts w:ascii="IBM Plex Mono" w:hAnsi="IBM Plex Mono" w:eastAsia="IBM Plex Mono" w:cs="IBM Plex Mono"/>
                <w:b/>
                <w:color w:val="46525E"/>
                <w:sz w:val="15"/>
                <w:spacing w:val="16"/>
              </w:rPr>
              <w:tab/>
              <w:t>2 MIN</w:t>
            </w:r>
          </w:p>
          <w:p>
            <w:pPr>
              <w:pStyle w:val="DDTabellentext"/>
              <w:spacing w:before="80" w:after="120"/>
            </w:pPr>
            <w:r>
              <w:rPr>
                <w:rFonts w:ascii="Barlow Condensed SemiBold" w:hAnsi="Barlow Condensed SemiBold" w:eastAsia="Barlow Condensed SemiBold" w:cs="Barlow Condensed SemiBold"/>
                <w:sz w:val="34"/>
              </w:rPr>
              <w:t>Schutz oder Sicherheit?</w:t>
            </w:r>
          </w:p>
          <w:p>
            <w:pPr>
              <w:pStyle w:val="DDTabellentext"/>
              <w:spacing w:after="60"/>
            </w:pPr>
            <w:r>
              <w:t xml:space="preserve">Ordne jede Maßnahme dem </w:t>
            </w:r>
            <w:r>
              <w:rPr>
                <w:b/>
              </w:rPr>
              <w:t>Datenschutz</w:t>
            </w:r>
            <w:r>
              <w:t xml:space="preserve"> oder der </w:t>
            </w:r>
            <w:r>
              <w:rPr>
                <w:b/>
              </w:rPr>
              <w:t>Datensicherheit</w:t>
            </w:r>
            <w:r>
              <w:t xml:space="preserve"> zu: Verschlüsselung der Exporte · Veröffentlichung nur von Summen je Stadtteil · Zugriffsrechte nach Rollen · Einwilligung vor der Weitergabe.</w:t>
            </w:r>
          </w:p>
          <w:p>
            <w:pPr>
              <w:pStyle w:val="DDTabellentext"/>
              <w:spacing w:before="160"/>
            </w:pPr>
            <w:r>
              <w:rPr>
                <w:rFonts w:ascii="IBM Plex Mono" w:hAnsi="IBM Plex Mono" w:eastAsia="IBM Plex Mono" w:cs="IBM Plex Mono"/>
                <w:color w:val="58626D"/>
                <w:sz w:val="13"/>
                <w:spacing w:val="16"/>
              </w:rPr>
              <w:t>Kompetenz K46</w:t>
            </w:r>
          </w:p>
        </w:tc>
      </w:tr>
    </w:tbl>
    <w:p>
      <w:r>
        <w:br w:type="page"/>
      </w:r>
    </w:p>
    <w:tbl>
      <w:tblPr>
        <w:tblLayout w:type="fixed"/>
        <w:tblLook w:firstColumn="1" w:firstRow="1" w:lastColumn="0" w:lastRow="0" w:noHBand="0" w:noVBand="1" w:val="04A0"/>
        <w:tblW w:w="10546"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10546"/>
      </w:tblGrid>
      <w:tr>
        <w:trPr>
          <w:trHeight w:val="7285" w:hRule="exact"/>
          <w:cantSplit/>
        </w:trPr>
        <w:tc>
          <w:tcPr>
            <w:tcW w:type="dxa" w:w="10545"/>
            <w:tcMar>
              <w:top w:w="283" w:type="dxa"/>
              <w:left w:w="397" w:type="dxa"/>
              <w:bottom w:w="227" w:type="dxa"/>
              <w:right w:w="397" w:type="dxa"/>
            </w:tcMar>
            <w:tcBorders>
              <w:bottom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W-A6-05 · DATENSCHUTZ</w:t>
            </w:r>
            <w:r>
              <w:rPr>
                <w:rFonts w:ascii="IBM Plex Mono" w:hAnsi="IBM Plex Mono" w:eastAsia="IBM Plex Mono" w:cs="IBM Plex Mono"/>
                <w:b/>
                <w:color w:val="46525E"/>
                <w:sz w:val="15"/>
                <w:spacing w:val="16"/>
              </w:rPr>
              <w:tab/>
              <w:t>2 MIN</w:t>
            </w:r>
          </w:p>
          <w:p>
            <w:pPr>
              <w:pStyle w:val="DDTabellentext"/>
              <w:spacing w:before="80" w:after="120"/>
            </w:pPr>
            <w:r>
              <w:rPr>
                <w:rFonts w:ascii="Barlow Condensed SemiBold" w:hAnsi="Barlow Condensed SemiBold" w:eastAsia="Barlow Condensed SemiBold" w:cs="Barlow Condensed SemiBold"/>
                <w:sz w:val="34"/>
              </w:rPr>
              <w:t>Werbung erlaubt?</w:t>
            </w:r>
          </w:p>
          <w:p>
            <w:pPr>
              <w:pStyle w:val="DDTabellentext"/>
              <w:spacing w:after="60"/>
            </w:pPr>
            <w:r>
              <w:t>Eine App will Nutzungsdaten für personalisierte Werbung verwenden. Nenne zwei Voraussetzungen, unter denen das erlaubt ist, und fälle ein kurzes Urteil für den Fall, dass die Werbung nur in den AGB steht.</w:t>
            </w:r>
          </w:p>
          <w:p>
            <w:pPr>
              <w:pStyle w:val="DDTabellentext"/>
              <w:spacing w:before="160"/>
            </w:pPr>
            <w:r>
              <w:rPr>
                <w:rFonts w:ascii="IBM Plex Mono" w:hAnsi="IBM Plex Mono" w:eastAsia="IBM Plex Mono" w:cs="IBM Plex Mono"/>
                <w:color w:val="58626D"/>
                <w:sz w:val="13"/>
                <w:spacing w:val="16"/>
              </w:rPr>
              <w:t>Kompetenz K45 · Falle P10</w:t>
            </w:r>
          </w:p>
        </w:tc>
      </w:tr>
      <w:tr>
        <w:trPr>
          <w:trHeight w:val="7285" w:hRule="exact"/>
          <w:cantSplit/>
        </w:trPr>
        <w:tc>
          <w:tcPr>
            <w:tcW w:type="dxa" w:w="10545"/>
            <w:tcMar>
              <w:top w:w="283" w:type="dxa"/>
              <w:left w:w="397" w:type="dxa"/>
              <w:bottom w:w="227" w:type="dxa"/>
              <w:right w:w="397" w:type="dxa"/>
            </w:tcMar>
            <w:tcBorders>
              <w:top w:val="dashed" w:sz="4" w:space="0" w:color="8F8270"/>
            </w:tcBorders>
          </w:tcPr>
          <w:p>
            <w:pPr>
              <w:pStyle w:val="DDTabellentext"/>
              <w:tabs>
                <w:tab w:pos="9694" w:val="right"/>
              </w:tabs>
            </w:pPr>
            <w:r>
              <w:rPr>
                <w:rFonts w:ascii="IBM Plex Mono" w:hAnsi="IBM Plex Mono" w:eastAsia="IBM Plex Mono" w:cs="IBM Plex Mono"/>
                <w:b/>
                <w:color w:val="B3261E"/>
                <w:sz w:val="15"/>
                <w:spacing w:val="16"/>
              </w:rPr>
              <w:t>WARM-UP · W-A6-06 · SQL AGGREGATION</w:t>
            </w:r>
            <w:r>
              <w:rPr>
                <w:rFonts w:ascii="IBM Plex Mono" w:hAnsi="IBM Plex Mono" w:eastAsia="IBM Plex Mono" w:cs="IBM Plex Mono"/>
                <w:b/>
                <w:color w:val="46525E"/>
                <w:sz w:val="15"/>
                <w:spacing w:val="16"/>
              </w:rPr>
              <w:tab/>
              <w:t>3 MIN</w:t>
            </w:r>
          </w:p>
          <w:p>
            <w:pPr>
              <w:pStyle w:val="DDTabellentext"/>
              <w:spacing w:before="80" w:after="120"/>
            </w:pPr>
            <w:r>
              <w:rPr>
                <w:rFonts w:ascii="Barlow Condensed SemiBold" w:hAnsi="Barlow Condensed SemiBold" w:eastAsia="Barlow Condensed SemiBold" w:cs="Barlow Condensed SemiBold"/>
                <w:sz w:val="34"/>
              </w:rPr>
              <w:t>Kleine Gruppen finden</w:t>
            </w:r>
          </w:p>
          <w:p>
            <w:pPr>
              <w:pStyle w:val="DDTabellentext"/>
              <w:spacing w:after="60"/>
            </w:pPr>
            <w:r>
              <w:t xml:space="preserve">Notiere eine Abfrage auf der Tabelle </w:t>
            </w:r>
            <w:r>
              <w:rPr>
                <w:rFonts w:ascii="IBM Plex Mono" w:hAnsi="IBM Plex Mono" w:eastAsia="IBM Plex Mono" w:cs="IBM Plex Mono"/>
                <w:sz w:val="19"/>
              </w:rPr>
              <w:t>Einwohner(EinwohnerNr, Vorname, Nachname, Jahrgang, Stadtteil, Strasse)</w:t>
            </w:r>
            <w:r>
              <w:t>: alle Kombinationen aus Jahrgang und Stadtteil mit weniger als 3 Einwohnern, mit der Anzahl.</w:t>
            </w:r>
          </w:p>
          <w:p>
            <w:pPr>
              <w:pStyle w:val="DDTabellentext"/>
              <w:spacing w:before="160"/>
            </w:pPr>
            <w:r>
              <w:rPr>
                <w:rFonts w:ascii="IBM Plex Mono" w:hAnsi="IBM Plex Mono" w:eastAsia="IBM Plex Mono" w:cs="IBM Plex Mono"/>
                <w:color w:val="58626D"/>
                <w:sz w:val="13"/>
                <w:spacing w:val="16"/>
              </w:rPr>
              <w:t>Kompetenz K27, K46 · Falle P1</w:t>
            </w:r>
          </w:p>
        </w:tc>
      </w:tr>
    </w:tbl>
    <w:p>
      <w:r>
        <w:br w:type="page"/>
      </w:r>
    </w:p>
    <w:p>
      <w:pPr>
        <w:pStyle w:val="Heading1"/>
      </w:pPr>
      <w:r>
        <w:t>Lösungen der Warm-up-Karten</w:t>
      </w:r>
    </w:p>
    <w:p>
      <w:r>
        <w:rPr>
          <w:rFonts w:ascii="IBM Plex Mono" w:hAnsi="IBM Plex Mono" w:eastAsia="IBM Plex Mono" w:cs="IBM Plex Mono"/>
          <w:b/>
          <w:color w:val="B3261E"/>
          <w:sz w:val="14"/>
        </w:rPr>
        <w:t>NUR LEHRKRAFT – dieser Teil fehlt in der Schülerfassung.</w:t>
      </w:r>
    </w:p>
    <w:p>
      <w:pPr>
        <w:pStyle w:val="Heading3"/>
      </w:pPr>
      <w:r>
        <w:t>W-A6-01 · Grundsatz erkennen</w:t>
      </w:r>
    </w:p>
    <w:p>
      <w:r>
        <w:t xml:space="preserve">1. </w:t>
      </w:r>
      <w:r>
        <w:rPr>
          <w:b/>
        </w:rPr>
        <w:t>Zweckbindung</w:t>
      </w:r>
      <w:r>
        <w:t xml:space="preserve"> – Fahndung ist ein neuer Zweck. 2. </w:t>
      </w:r>
      <w:r>
        <w:rPr>
          <w:b/>
        </w:rPr>
        <w:t>Speicherbegrenzung</w:t>
      </w:r>
      <w:r>
        <w:t xml:space="preserve"> – Daten werden nach Zweckerfüllung nicht gelöscht. 3. </w:t>
      </w:r>
      <w:r>
        <w:rPr>
          <w:b/>
        </w:rPr>
        <w:t>Datenminimierung</w:t>
      </w:r>
      <w:r>
        <w:t xml:space="preserve"> – Jahrgang und Tarif sind für die Statistik nicht nötig.</w:t>
      </w:r>
    </w:p>
    <w:p>
      <w:pPr>
        <w:pStyle w:val="Heading3"/>
      </w:pPr>
      <w:r>
        <w:t>W-A6-02 · Quasi-Identifikator</w:t>
      </w:r>
    </w:p>
    <w:p>
      <w:r>
        <w:t xml:space="preserve">Jedes Merkmal allein ist harmlos, zusammen bilden sie sehr </w:t>
      </w:r>
      <w:r>
        <w:rPr>
          <w:b/>
        </w:rPr>
        <w:t>kleine Gruppen</w:t>
      </w:r>
      <w:r>
        <w:t xml:space="preserve"> – oft mit nur einer Person (in Weserstedt: nur ein Token mit 1988, Hafenviertel, Plus). Solche Merkmale heißen </w:t>
      </w:r>
      <w:r>
        <w:rPr>
          <w:b/>
        </w:rPr>
        <w:t>Quasi-Identifikatoren</w:t>
      </w:r>
      <w:r>
        <w:t>: Wer sie kennt oder mit anderen Daten verknüpft, bestimmt die Person so eindeutig wie mit einem Namen.</w:t>
      </w:r>
    </w:p>
    <w:p>
      <w:pPr>
        <w:pStyle w:val="Heading3"/>
      </w:pPr>
      <w:r>
        <w:t>W-A6-03 · Pseudonym oder anonym?</w:t>
      </w:r>
    </w:p>
    <w:p>
      <w:r>
        <w:t xml:space="preserve">Der erste Datensatz ist </w:t>
      </w:r>
      <w:r>
        <w:rPr>
          <w:b/>
        </w:rPr>
        <w:t>pseudonym</w:t>
      </w:r>
      <w:r>
        <w:t xml:space="preserve">: Die Gerätekennung ersetzt den Namen, mit Zusatzwissen (z. B. Einwohnerverzeichnis) ist die Person bestimmbar – er bleibt personenbezogen. Die Summe ist </w:t>
      </w:r>
      <w:r>
        <w:rPr>
          <w:b/>
        </w:rPr>
        <w:t>anonym</w:t>
      </w:r>
      <w:r>
        <w:t>: Sie lässt keinen Rückschluss auf einzelne Personen zu.</w:t>
      </w:r>
    </w:p>
    <w:p>
      <w:pPr>
        <w:pStyle w:val="Heading3"/>
      </w:pPr>
      <w:r>
        <w:t>W-A6-04 · Schutz oder Sicherheit?</w:t>
      </w:r>
    </w:p>
    <w:p>
      <w:r>
        <w:rPr>
          <w:b/>
        </w:rPr>
        <w:t>Datensicherheit</w:t>
      </w:r>
      <w:r>
        <w:t xml:space="preserve"> (schützt die Daten): Verschlüsselung, Zugriffsrechte nach Rollen. </w:t>
      </w:r>
      <w:r>
        <w:rPr>
          <w:b/>
        </w:rPr>
        <w:t>Datenschutz</w:t>
      </w:r>
      <w:r>
        <w:t xml:space="preserve"> (schützt die Personen und ihre Rechte): Veröffentlichung nur von Summen (Datenminimierung), Einwilligung vor der Weitergabe (Rechtmäßigkeit).</w:t>
      </w:r>
    </w:p>
    <w:p>
      <w:pPr>
        <w:pStyle w:val="Heading3"/>
      </w:pPr>
      <w:r>
        <w:t>W-A6-05 · Werbung erlaubt?</w:t>
      </w:r>
    </w:p>
    <w:p>
      <w:r>
        <w:t xml:space="preserve">Voraussetzungen: eine </w:t>
      </w:r>
      <w:r>
        <w:rPr>
          <w:b/>
        </w:rPr>
        <w:t>freiwillige, ausdrückliche Einwilligung</w:t>
      </w:r>
      <w:r>
        <w:t xml:space="preserve">, die jederzeit </w:t>
      </w:r>
      <w:r>
        <w:rPr>
          <w:b/>
        </w:rPr>
        <w:t>widerrufen</w:t>
      </w:r>
      <w:r>
        <w:t xml:space="preserve"> werden kann, und vorherige </w:t>
      </w:r>
      <w:r>
        <w:rPr>
          <w:b/>
        </w:rPr>
        <w:t>Information</w:t>
      </w:r>
      <w:r>
        <w:t xml:space="preserve"> (Transparenz: welche Daten, welcher Zweck, welche Empfänger). Urteil: Steht die Werbung nur in den AGB, die „durch Nutzung“ gelten, liegt keine wirksame Einwilligung vor – die Verwendung ist unzulässig. Ein Urteil gehört zum Operator </w:t>
      </w:r>
      <w:r>
        <w:rPr>
          <w:b/>
        </w:rPr>
        <w:t>beurteilen</w:t>
      </w:r>
      <w:r>
        <w:t xml:space="preserve"> dazu.</w:t>
      </w:r>
    </w:p>
    <w:p>
      <w:pPr>
        <w:pStyle w:val="Heading3"/>
      </w:pPr>
      <w:r>
        <w:t>W-A6-06 · Kleine Gruppen finden</w:t>
      </w:r>
    </w:p>
    <w:p>
      <w:r>
        <w:t xml:space="preserve">Gruppieren nach beiden Merkmalen, die Bedingung über die Gruppengröße steht in </w:t>
      </w:r>
      <w:r>
        <w:rPr>
          <w:b/>
        </w:rPr>
        <w:t>HAVING</w:t>
      </w:r>
      <w:r>
        <w:t xml:space="preserve"> (nicht in WHERE, P1) und wiederholt das Aggregat (kein Alias in HAVING).</w:t>
      </w:r>
    </w:p>
    <w:p>
      <w:pPr>
        <w:pStyle w:val="SQL-Code"/>
      </w:pPr>
      <w:r>
        <w:rPr>
          <w:vanish/>
        </w:rPr>
        <w:t>[[DD: db=datenspuren]]</w:t>
      </w:r>
      <w:r>
        <w:t>SELECT Jahrgang, Stadtteil, COUNT(*) AS Anzahl</w:t>
        <w:br/>
        <w:t>FROM Einwohner</w:t>
        <w:br/>
        <w:t>GROUP BY Jahrgang, Stadtteil</w:t>
        <w:br/>
        <w:t>HAVING COUNT(*) &lt; 3</w:t>
      </w:r>
    </w:p>
    <w:sectPr w:rsidR="00FC693F" w:rsidRPr="0006063C" w:rsidSect="00034616">
      <w:headerReference w:type="default" r:id="rId9"/>
      <w:footerReference w:type="default" r:id="rId10"/>
      <w:pgSz w:w="11906" w:h="16838"/>
      <w:pgMar w:top="567" w:right="680" w:bottom="567" w:left="680"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Warm-up A6</w:t>
      <w:tab/>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6 · DATENSPUREN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Warm-up-Karten Akte 6</dc:title>
  <dc:subject>Datenspuren</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6</vt:lpwstr>
  </property>
  <property fmtid="{D5CDD505-2E9C-101B-9397-08002B2CF9AE}" pid="3" name="DD-Art">
    <vt:lpwstr>warmup</vt:lpwstr>
  </property>
  <property fmtid="{D5CDD505-2E9C-101B-9397-08002B2CF9AE}" pid="4" name="DD-Fassung">
    <vt:lpwstr>schueler</vt:lpwstr>
  </property>
  <property fmtid="{D5CDD505-2E9C-101B-9397-08002B2CF9AE}" pid="5" name="DD-Kuer">
    <vt:lpwstr>nein</vt:lpwstr>
  </property>
  <property fmtid="{D5CDD505-2E9C-101B-9397-08002B2CF9AE}" pid="6" name="DD-Material">
    <vt:lpwstr>Warm-up A6</vt:lpwstr>
  </property>
</Properties>
</file>