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Generalprobe Datenbanken (eA)</w:t>
            </w:r>
          </w:p>
          <w:p>
            <w:pPr>
              <w:pStyle w:val="DDTabellentext"/>
            </w:pPr>
            <w:r>
              <w:rPr>
                <w:color w:val="46525E"/>
              </w:rPr>
              <w:t>Die Ermittlerprüfung · Kontext: Mensa-Vorbestellsystem</w:t>
            </w:r>
          </w:p>
          <w:p>
            <w:pPr>
              <w:pStyle w:val="DDTabellentext"/>
            </w:pPr>
            <w:r>
              <w:rPr>
                <w:color w:val="46525E"/>
                <w:sz w:val="18"/>
              </w:rPr>
              <w:t>Bearbeitungszeit: 70 Minuten · Hilfsmittel: Operatorenübersicht, Ergänzende Hinweise §8 (Anlage) · Gesamt: 30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schreiben Sie auf jedem Blatt Ihren Namen (bei der Generalprobe Ihre Ermittlernummer). Die Bewertungseinheiten (BE) stehen hinter jeder Teilaufgabe.</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Person</w:t>
            </w:r>
          </w:p>
          <w:tbl>
            <w:tblPr>
              <w:tblStyle w:val="Datentabelle"/>
              <w:jc w:val="left"/>
              <w:tblLayout w:type="fixed"/>
              <w:tblLook w:firstColumn="1" w:firstRow="1" w:lastColumn="0" w:lastRow="0" w:noHBand="0" w:noVBand="1" w:val="04A0"/>
              <w:tblW w:w="6123" w:type="dxa"/>
            </w:tblPr>
            <w:tblGrid>
              <w:gridCol w:w="1247"/>
              <w:gridCol w:w="1134"/>
              <w:gridCol w:w="1360"/>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Arne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Demir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5c</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Insa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Gerdts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Ida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Lindemann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Schüler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Dana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Eggers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Lehrkraft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Gericht</w:t>
            </w:r>
          </w:p>
          <w:tbl>
            <w:tblPr>
              <w:tblStyle w:val="Datentabelle"/>
              <w:jc w:val="left"/>
              <w:tblLayout w:type="fixed"/>
              <w:tblLook w:firstColumn="1" w:firstRow="1" w:lastColumn="0" w:lastRow="0" w:noHBand="0" w:noVBand="1" w:val="04A0"/>
              <w:tblW w:w="8505" w:type="dxa"/>
            </w:tblPr>
            <w:tblGrid>
              <w:gridCol w:w="1360"/>
              <w:gridCol w:w="2948"/>
              <w:gridCol w:w="1701"/>
              <w:gridCol w:w="907"/>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Kategorie</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Preis</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Vegetarisch</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Gemüselasagne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Hähnchen-Curry mit Reis</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nein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Käsespätzle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Chili sin Carne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Hauptgericht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3,50</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Tomatensuppe</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Suppe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Schokopudding</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Dessert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ja</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Angebot</w:t>
            </w:r>
          </w:p>
          <w:tbl>
            <w:tblPr>
              <w:tblStyle w:val="Datentabelle"/>
              <w:jc w:val="left"/>
              <w:tblLayout w:type="fixed"/>
              <w:tblLook w:firstColumn="1" w:firstRow="1" w:lastColumn="0" w:lastRow="0" w:noHBand="0" w:noVBand="1" w:val="04A0"/>
              <w:tblW w:w="5556" w:type="dxa"/>
            </w:tblPr>
            <w:tblGrid>
              <w:gridCol w:w="1360"/>
              <w:gridCol w:w="1360"/>
              <w:gridCol w:w="1474"/>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AngebotNr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GerichtNr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Bestellung</w:t>
            </w:r>
          </w:p>
          <w:tbl>
            <w:tblPr>
              <w:tblStyle w:val="Datentabelle"/>
              <w:jc w:val="left"/>
              <w:tblLayout w:type="fixed"/>
              <w:tblLook w:firstColumn="1" w:firstRow="1" w:lastColumn="0" w:lastRow="0" w:noHBand="0" w:noVBand="1" w:val="04A0"/>
              <w:tblW w:w="6123" w:type="dxa"/>
            </w:tblPr>
            <w:tblGrid>
              <w:gridCol w:w="1360"/>
              <w:gridCol w:w="1247"/>
              <w:gridCol w:w="1360"/>
              <w:gridCol w:w="907"/>
              <w:gridCol w:w="124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BestellNr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PersonNr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AngebotNr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Abgeholt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202</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203</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13:11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204</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205</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13:01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207</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208</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30</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11:51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209</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13:30</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210</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12:39</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45</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12:48</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BestellUebersicht</w:t>
            </w:r>
          </w:p>
          <w:p>
            <w:pPr>
              <w:pStyle w:val="DDTabellentext"/>
              <w:spacing w:after="60"/>
            </w:pPr>
            <w:r>
              <w:t>Bevor es das Vorbestellsystem gab, führte die Mensa eine einzige Tabelle. Der folgende Ausschnitt enthält alle Bestellungen vom 16.03.2027:</w:t>
            </w:r>
          </w:p>
          <w:tbl>
            <w:tblPr>
              <w:tblStyle w:val="Datentabelle"/>
              <w:jc w:val="left"/>
              <w:tblLayout w:type="fixed"/>
              <w:tblLook w:firstColumn="1" w:firstRow="1" w:lastColumn="0" w:lastRow="0" w:noHBand="0" w:noVBand="1" w:val="04A0"/>
              <w:tblW w:w="9412" w:type="dxa"/>
            </w:tblPr>
            <w:tblGrid>
              <w:gridCol w:w="1134"/>
              <w:gridCol w:w="1020"/>
              <w:gridCol w:w="1644"/>
              <w:gridCol w:w="793"/>
              <w:gridCol w:w="1247"/>
              <w:gridCol w:w="2097"/>
              <w:gridCol w:w="680"/>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BestellNr</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PersonNr</w:t>
                  </w:r>
                </w:p>
              </w:tc>
              <w:tc>
                <w:tcPr>
                  <w:tcW w:type="dxa" w:w="164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Klasse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Datum</w:t>
                  </w:r>
                </w:p>
              </w:tc>
              <w:tc>
                <w:tcPr>
                  <w:tcW w:type="dxa" w:w="209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Gericht</w:t>
                  </w:r>
                </w:p>
              </w:tc>
              <w:tc>
                <w:tcPr>
                  <w:tcW w:type="dxa" w:w="68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Preis</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Menge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9</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Hilke Akgül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Nele Döscher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Dana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208</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30</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Ole Lindemann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209</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Arne Demir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210</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31</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Jannik Dirksen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7c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211</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Karla Siemers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Hähnchen-Curry mit Reis</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4,75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28</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Taalke Bargmann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213</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Pia Fehrmann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5c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14</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Insa Gerdts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10c</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215</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16</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Clara Pundt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9a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3,50</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216</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17</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Eggers</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6"/>
                    </w:rPr>
                    <w:t>8b</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Chili sin Carne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217</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33</w:t>
                  </w:r>
                </w:p>
              </w:tc>
              <w:tc>
                <w:tcPr>
                  <w:tcW w:type="dxa" w:w="1644"/>
                  <w:tcBorders>
                    <w:top w:val="single" w:sz="4" w:space="0" w:color="D8CCB6"/>
                    <w:left w:val="single" w:sz="4" w:space="0" w:color="D8CCB6"/>
                    <w:bottom w:val="single" w:sz="4" w:space="0" w:color="D8CCB6"/>
                    <w:right w:val="single" w:sz="4" w:space="0" w:color="D8CCB6"/>
                  </w:tcBorders>
                </w:tcPr>
                <w:p>
                  <w:pPr>
                    <w:pStyle w:val="DDTabellentext"/>
                  </w:pPr>
                  <w:r>
                    <w:rPr>
                      <w:sz w:val="16"/>
                    </w:rPr>
                    <w:t>Ida Bultjer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4"/>
                    </w:rPr>
                    <w:t>NULL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6"/>
                    </w:rPr>
                    <w:t>2027-03-16</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Tomatensuppe</w:t>
                  </w:r>
                </w:p>
              </w:tc>
              <w:tc>
                <w:tcPr>
                  <w:tcW w:type="dxa" w:w="680"/>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2,25</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2</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ER-Modell (Ausschnitt)</w:t>
            </w:r>
          </w:p>
          <w:p>
            <w:pPr>
              <w:jc w:val="center"/>
            </w:pPr>
            <w:r>
              <w:drawing>
                <wp:inline xmlns:a="http://schemas.openxmlformats.org/drawingml/2006/main" xmlns:pic="http://schemas.openxmlformats.org/drawingml/2006/picture">
                  <wp:extent cx="5760130" cy="2454020"/>
                  <wp:docPr id="1" name="Picture 1"/>
                  <wp:cNvGraphicFramePr>
                    <a:graphicFrameLocks noChangeAspect="1"/>
                  </wp:cNvGraphicFramePr>
                  <a:graphic>
                    <a:graphicData uri="http://schemas.openxmlformats.org/drawingml/2006/picture">
                      <pic:pic>
                        <pic:nvPicPr>
                          <pic:cNvPr id="0" name="er_140496738602192.png"/>
                          <pic:cNvPicPr/>
                        </pic:nvPicPr>
                        <pic:blipFill>
                          <a:blip r:embed="rId11"/>
                          <a:stretch>
                            <a:fillRect/>
                          </a:stretch>
                        </pic:blipFill>
                        <pic:spPr>
                          <a:xfrm>
                            <a:off x="0" y="0"/>
                            <a:ext cx="5760130" cy="2454020"/>
                          </a:xfrm>
                          <a:prstGeom prst="rect"/>
                        </pic:spPr>
                      </pic:pic>
                    </a:graphicData>
                  </a:graphic>
                </wp:inline>
              </w:drawing>
            </w:r>
          </w:p>
        </w:tc>
      </w:tr>
    </w:tbl>
    <w:p>
      <w:pPr>
        <w:spacing w:after="0" w:line="160" w:lineRule="exact"/>
      </w:pPr>
    </w:p>
    <w:p>
      <w:pPr>
        <w:pStyle w:val="Heading1"/>
        <w:pageBreakBefore w:val="0"/>
      </w:pPr>
      <w:r>
        <w:t>Aufgaben</w:t>
      </w:r>
    </w:p>
    <w:p>
      <w:pPr>
        <w:keepNext w:val="0"/>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p>
      <w:pPr>
        <w:keepNext w:val="0"/>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p>
      <w:pPr>
        <w:keepNext w:val="0"/>
        <w:tabs>
          <w:tab w:pos="454" w:val="left"/>
        </w:tabs>
        <w:spacing w:before="160"/>
        <w:ind w:left="454" w:hanging="454"/>
      </w:pPr>
      <w:r>
        <w:rPr>
          <w:b/>
        </w:rPr>
        <w:t>c)</w:t>
        <w:tab/>
      </w:r>
      <w:r>
        <w:t xml:space="preserve">Die Mensa möchte ihr Datenmodell erweitern: Gerichte können </w:t>
      </w:r>
      <w:r>
        <w:rPr>
          <w:b/>
        </w:rPr>
        <w:t>Allergene</w:t>
      </w:r>
      <w:r>
        <w:t xml:space="preserve"> enthalten. Ein Allergen hat ein Kürzel (z. B. „G“ für glutenhaltiges Getreide) und eine Bezeichnung und kann in vielen Gerichten vorkommen. Zu jedem Paar aus Gericht und Allergen soll ein Hinweis gespeichert werden (z. B. „nur Spuren“). Außerdem kann jede Küchenkraft bei Abwesenheit von höchstens einer anderen Küchenkraft vertreten werden; eine Küchenkraft kann die Vertretung für mehrere andere übernehmen. </w:t>
      </w:r>
      <w:r>
        <w:rPr>
          <w:b/>
        </w:rPr>
        <w:t>Erweitern</w:t>
      </w:r>
      <w:r>
        <w:t xml:space="preserve"> Sie das ER-Modell (Material 4) um diese Anforderungen. Geben Sie Schlüsselattribute und Kardinalitäten vollständig an. [6 BE]</w:t>
      </w:r>
    </w:p>
    <w:p>
      <w:pPr>
        <w:keepNext w:val="0"/>
        <w:tabs>
          <w:tab w:pos="454" w:val="left"/>
        </w:tabs>
        <w:spacing w:before="160"/>
        <w:ind w:left="454" w:hanging="454"/>
      </w:pPr>
      <w:r>
        <w:rPr>
          <w:b/>
        </w:rPr>
        <w:t>d)</w:t>
        <w:tab/>
      </w:r>
      <w:r>
        <w:rPr>
          <w:b/>
        </w:rPr>
        <w:t>Erstellen</w:t>
      </w:r>
      <w:r>
        <w:t xml:space="preserve"> Sie zu dem in Teilaufgabe c) ergänzten Teil des ER-Modells das Relationenschema in Kurzschreibweise und </w:t>
      </w:r>
      <w:r>
        <w:rPr>
          <w:b/>
        </w:rPr>
        <w:t>begründen</w:t>
      </w:r>
      <w:r>
        <w:t xml:space="preserve"> Sie die Umsetzung des Beziehungstyps enthaelt. [3 BE]</w:t>
      </w:r>
    </w:p>
    <w:p>
      <w:pPr>
        <w:keepNext w:val="0"/>
        <w:tabs>
          <w:tab w:pos="454" w:val="left"/>
        </w:tabs>
        <w:spacing w:before="160"/>
        <w:ind w:left="454" w:hanging="454"/>
      </w:pPr>
      <w:r>
        <w:rPr>
          <w:b/>
        </w:rPr>
        <w:t>e)</w:t>
        <w:tab/>
      </w:r>
      <w:r>
        <w:rPr>
          <w:b/>
        </w:rPr>
        <w:t>Entwerfen</w:t>
      </w:r>
      <w:r>
        <w:t xml:space="preserve"> Sie eine SQL-Abfrage, die Bezeichnung und Preis aller vegetarischen Gerichte ausgibt, die am 15.03.2027 angeboten werden. Das Ergebnis soll aufsteigend nach dem Preis sortiert sein. [3 BE]</w:t>
      </w:r>
    </w:p>
    <w:p>
      <w:pPr>
        <w:keepNext w:val="0"/>
        <w:tabs>
          <w:tab w:pos="454" w:val="left"/>
        </w:tabs>
        <w:spacing w:before="160"/>
        <w:ind w:left="454" w:hanging="454"/>
      </w:pPr>
      <w:r>
        <w:rPr>
          <w:b/>
        </w:rPr>
        <w:t>f)</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p>
      <w:r>
        <w:br w:type="page"/>
      </w:r>
    </w:p>
    <w:p>
      <w:pPr>
        <w:pStyle w:val="Heading1"/>
      </w:pPr>
      <w:r>
        <w:t>Anlage · Ergänzende Hinweise §8 – Datenbankabfragen</w:t>
      </w:r>
    </w:p>
    <w:p>
      <w:pPr/>
      <w:r>
        <w:rPr>
          <w:i/>
        </w:rPr>
        <w:t>Auszug aus den Ergänzenden Hinweisen zum Kerncurriculum Informatik (Niedersächsisches Kultusministerium, Neufassung Juni 2025), Abschnitt 8 – im Abitur als Hilfsmittel zugelassen.</w:t>
      </w:r>
    </w:p>
    <w:p>
      <w:pPr/>
      <w:r>
        <w:t>In den Aufgabenstellungen und in den erwarteten Lösungen wird die Abfragesprache SQL mit dem folgenden Sprachumfang unter Berücksichtigung der angegebenen Operatoren und Aggregatfunktionen verwendet. Verschachtelte SQL-Anweisungen werden im Rahmen der zentralen Prüfungsaufgaben nicht thematisiert.</w:t>
      </w:r>
    </w:p>
    <w:p>
      <w:pPr/>
      <w:r>
        <w:rPr>
          <w:b/>
        </w:rPr>
        <w:t>SELECT-Anweisung:</w:t>
      </w:r>
    </w:p>
    <w:p>
      <w:pPr>
        <w:spacing w:after="0"/>
        <w:ind w:left="280"/>
      </w:pPr>
      <w:r>
        <w:rPr>
          <w:rFonts w:ascii="IBM Plex Mono" w:hAnsi="IBM Plex Mono" w:eastAsia="IBM Plex Mono" w:cs="IBM Plex Mono"/>
          <w:sz w:val="19"/>
        </w:rPr>
        <w:t>SELECT [DISTINCT] * | spalte1 [AS s1], spalte2 [AS s2], …</w:t>
      </w:r>
    </w:p>
    <w:p>
      <w:pPr>
        <w:spacing w:after="0"/>
        <w:ind w:left="280"/>
      </w:pPr>
      <w:r>
        <w:rPr>
          <w:rFonts w:ascii="IBM Plex Mono" w:hAnsi="IBM Plex Mono" w:eastAsia="IBM Plex Mono" w:cs="IBM Plex Mono"/>
          <w:sz w:val="19"/>
        </w:rPr>
        <w:t>FROM tabelle1 [t1], tabelle2 [t2], …</w:t>
      </w:r>
    </w:p>
    <w:p>
      <w:pPr>
        <w:spacing w:after="0"/>
        <w:ind w:left="280"/>
      </w:pPr>
      <w:r>
        <w:rPr>
          <w:rFonts w:ascii="IBM Plex Mono" w:hAnsi="IBM Plex Mono" w:eastAsia="IBM Plex Mono" w:cs="IBM Plex Mono"/>
          <w:sz w:val="19"/>
        </w:rPr>
        <w:t>[WHERE bedingung1 (AND | OR) bedingung2 (AND | OR) … ]</w:t>
      </w:r>
    </w:p>
    <w:p>
      <w:pPr>
        <w:spacing w:after="0"/>
        <w:ind w:left="280"/>
      </w:pPr>
      <w:r>
        <w:rPr>
          <w:rFonts w:ascii="IBM Plex Mono" w:hAnsi="IBM Plex Mono" w:eastAsia="IBM Plex Mono" w:cs="IBM Plex Mono"/>
          <w:sz w:val="19"/>
        </w:rPr>
        <w:t>[GROUP BY spalte1, spalte2, …</w:t>
      </w:r>
    </w:p>
    <w:p>
      <w:pPr>
        <w:spacing w:after="0"/>
        <w:ind w:left="280"/>
      </w:pPr>
      <w:r>
        <w:rPr>
          <w:rFonts w:ascii="IBM Plex Mono" w:hAnsi="IBM Plex Mono" w:eastAsia="IBM Plex Mono" w:cs="IBM Plex Mono"/>
          <w:sz w:val="19"/>
        </w:rPr>
        <w:t>[HAVING gruppenBedingung1 (AND | OR) gruppenBedingung2 (AND | OR) …]]</w:t>
      </w:r>
    </w:p>
    <w:p>
      <w:pPr>
        <w:spacing w:after="0"/>
        <w:ind w:left="280"/>
      </w:pPr>
      <w:r>
        <w:rPr>
          <w:rFonts w:ascii="IBM Plex Mono" w:hAnsi="IBM Plex Mono" w:eastAsia="IBM Plex Mono" w:cs="IBM Plex Mono"/>
          <w:sz w:val="19"/>
        </w:rPr>
        <w:t>[ORDER BY spalte1 [ASC | DESC], spalte2 [ASC | DESC], …]</w:t>
      </w:r>
    </w:p>
    <w:p>
      <w:pPr>
        <w:spacing w:after="120"/>
        <w:ind w:left="280"/>
      </w:pPr>
      <w:r>
        <w:rPr>
          <w:rFonts w:ascii="IBM Plex Mono" w:hAnsi="IBM Plex Mono" w:eastAsia="IBM Plex Mono" w:cs="IBM Plex Mono"/>
          <w:sz w:val="19"/>
        </w:rPr>
        <w:t>[LIMIT anzahl]</w:t>
      </w:r>
    </w:p>
    <w:p>
      <w:pPr/>
      <w:r>
        <w:t>Angaben in eckigen Klammern sind optional. Spalten können Attribute, Aggregatfunktionen oder Berechnungen sein. Bei GROUP BY und ORDER BY ist auch die Angabe eines Alias möglich.</w:t>
      </w:r>
    </w:p>
    <w:p>
      <w:pPr/>
      <w:r>
        <w:rPr>
          <w:b/>
        </w:rPr>
        <w:t xml:space="preserve">Operatoren für Berechnungen: </w:t>
      </w:r>
      <w:r>
        <w:t>+, -, *, /</w:t>
      </w:r>
    </w:p>
    <w:p>
      <w:pPr/>
      <w:r>
        <w:rPr>
          <w:b/>
        </w:rPr>
        <w:t xml:space="preserve">Operatoren für Vergleiche in Bedingungen: </w:t>
      </w:r>
      <w:r>
        <w:t>=, != (ungleich), &gt;, &lt;, &gt;=, &lt;=, NOT, IS NULL, IN, BETWEEN, LIKE (mit den Platzhaltern _ (für genau ein Zeichen) und % (für beliebig viele Zeichen))</w:t>
      </w:r>
    </w:p>
    <w:p>
      <w:pPr/>
      <w:r>
        <w:rPr>
          <w:b/>
        </w:rPr>
        <w:t xml:space="preserve">Aggregatfunktionen: </w:t>
      </w:r>
      <w:r>
        <w:t>AVG, COUNT, MAX, MIN, SUM</w:t>
      </w:r>
    </w:p>
    <w:p>
      <w:pPr/>
      <w:r>
        <w:rPr>
          <w:b/>
        </w:rPr>
        <w:t xml:space="preserve">Hinweis zur Verwendung von GROUP BY: </w:t>
      </w:r>
      <w:r>
        <w:t>Bei einer Gruppierung müssen alle Spalten in der SELECT-Klausel entweder von einer Aggregatfunktion umschlossen oder explizit in der GROUP BY-Klausel aufgezählt sein.</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GP-eA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generalprobe</vt:lpwstr>
  </property>
  <property fmtid="{D5CDD505-2E9C-101B-9397-08002B2CF9AE}" pid="4" name="DD-Datenbank">
    <vt:lpwstr>verhoer/mensa</vt:lpwstr>
  </property>
  <property fmtid="{D5CDD505-2E9C-101B-9397-08002B2CF9AE}" pid="5" name="DD-Fassung">
    <vt:lpwstr>schueler</vt:lpwstr>
  </property>
  <property fmtid="{D5CDD505-2E9C-101B-9397-08002B2CF9AE}" pid="6" name="DD-Kompetenzen">
    <vt:lpwstr>{"GP-eA-a": ["DB-K02", "DB-K03", "DB-K05"], "GP-eA-b": ["DB-K07", "DB-K08", "DB-K09", "DB-K10"], "GP-eA-c": ["DB-K35", "DB-K36", "DB-K37", "DB-K39"], "GP-eA-d": ["DB-K04", "DB-K41", "DB-K42"], "GP-eA-e": ["DB-K17", "DB-K21", "DB-K23", "DB-K32"], "GP-eA-f": ["DB-K18", "DB-K24", "DB-K25", "DB-K26", "DB-K27"], "GP-eA-g": ["DB-K18", "DB-K22", "DB-K28"]}</vt:lpwstr>
  </property>
  <property fmtid="{D5CDD505-2E9C-101B-9397-08002B2CF9AE}" pid="7" name="DD-Kuer">
    <vt:lpwstr>nein</vt:lpwstr>
  </property>
  <property fmtid="{D5CDD505-2E9C-101B-9397-08002B2CF9AE}" pid="8" name="DD-Material">
    <vt:lpwstr>GP-eA</vt:lpwstr>
  </property>
</Properties>
</file>