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GRUNDLEGENDES ANFORDERUNGSNIVEAU (GA)</w:t>
            </w:r>
          </w:p>
          <w:p>
            <w:pPr>
              <w:pStyle w:val="DDTabellentext"/>
            </w:pPr>
            <w:r>
              <w:rPr>
                <w:rFonts w:ascii="Barlow Condensed SemiBold" w:hAnsi="Barlow Condensed SemiBold" w:eastAsia="Barlow Condensed SemiBold" w:cs="Barlow Condensed SemiBold"/>
                <w:sz w:val="38"/>
              </w:rPr>
              <w:t>Nachschreibklausur Datenbanken (gA)</w:t>
            </w:r>
          </w:p>
          <w:p>
            <w:pPr>
              <w:pStyle w:val="DDTabellentext"/>
            </w:pPr>
            <w:r>
              <w:rPr>
                <w:color w:val="46525E"/>
              </w:rPr>
              <w:t>Kontext: Kostümverleih der Theater-AG</w:t>
            </w:r>
          </w:p>
          <w:p>
            <w:pPr>
              <w:pStyle w:val="DDTabellentext"/>
            </w:pPr>
            <w:r>
              <w:rPr>
                <w:color w:val="46525E"/>
                <w:sz w:val="18"/>
              </w:rPr>
              <w:t>Bearbeitungszeit: 90 Minuten · Hilfsmittel: Operatorenübersicht · Gesamt: 45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 – Aufgabe A · Kostümverleih der Theater-AG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AusleihNr bzw. MitgliedNr unterstrichen: Primärschlüssel (1)</w:t>
            </w:r>
          </w:p>
          <w:p>
            <w:pPr>
              <w:pStyle w:val="DDTabellentext"/>
              <w:spacing w:after="60"/>
            </w:pPr>
            <w:r>
              <w:t xml:space="preserve">▸ </w:t>
            </w:r>
            <w:r>
              <w:rPr>
                <w:rFonts w:ascii="IBM Plex Mono" w:hAnsi="IBM Plex Mono" w:eastAsia="IBM Plex Mono" w:cs="IBM Plex Mono"/>
                <w:color w:val="B3261E"/>
              </w:rPr>
              <w:t>↑</w:t>
            </w:r>
            <w:r>
              <w:t xml:space="preserve">KostuemNr, </w:t>
            </w:r>
            <w:r>
              <w:rPr>
                <w:rFonts w:ascii="IBM Plex Mono" w:hAnsi="IBM Plex Mono" w:eastAsia="IBM Plex Mono" w:cs="IBM Plex Mono"/>
                <w:color w:val="B3261E"/>
              </w:rPr>
              <w:t>↑</w:t>
            </w:r>
            <w:r>
              <w:t xml:space="preserve">MitgliedNr, </w:t>
            </w:r>
            <w:r>
              <w:rPr>
                <w:rFonts w:ascii="IBM Plex Mono" w:hAnsi="IBM Plex Mono" w:eastAsia="IBM Plex Mono" w:cs="IBM Plex Mono"/>
                <w:color w:val="B3261E"/>
              </w:rPr>
              <w:t>↑</w:t>
            </w:r>
            <w:r>
              <w:t>RollenNr in Ausleihe: Fremdschlüssel auf Kostuem, Mitglied, Rolle (1)</w:t>
            </w:r>
          </w:p>
          <w:p>
            <w:pPr>
              <w:pStyle w:val="DDTabellentext"/>
              <w:spacing w:after="60"/>
            </w:pPr>
            <w:r>
              <w:t xml:space="preserve">▸ </w:t>
            </w:r>
            <w:r>
              <w:rPr>
                <w:rFonts w:ascii="IBM Plex Mono" w:hAnsi="IBM Plex Mono" w:eastAsia="IBM Plex Mono" w:cs="IBM Plex Mono"/>
                <w:color w:val="B3261E"/>
              </w:rPr>
              <w:t>↑</w:t>
            </w:r>
            <w:r>
              <w:t>PateNr verweist auf Mitglied.MitgliedNr derselben Relation (rekursive Beziehung), eigener Name, NULL ohne Pate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Paar wäre nur eindeutig, wenn jedes Mitglied jedes Kostüm höchstens einmal ausleiht (1)</w:t>
            </w:r>
          </w:p>
          <w:p>
            <w:pPr>
              <w:pStyle w:val="DDTabellentext"/>
              <w:spacing w:after="60"/>
            </w:pPr>
            <w:r>
              <w:t>▸ Gegenbeispiel aus Material 2: Pauline Tebbe (6) leiht Kostüm 15 zweimal aus → ungeeignet (1)</w:t>
            </w:r>
          </w:p>
          <w:p>
            <w:pPr>
              <w:pStyle w:val="DDTabellentext"/>
              <w:spacing w:after="60"/>
            </w:pPr>
            <w:r>
              <w:t>▸ Alternative begründet, z. B. (KostuemNr, MitgliedNr, Von) oder künstlicher Schlüssel AusleihNr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Stück und Premiere je Rolle, Bezeichnung je Kostüm mehrfach (1)</w:t>
            </w:r>
          </w:p>
          <w:p>
            <w:pPr>
              <w:pStyle w:val="DDTabellentext"/>
              <w:spacing w:after="60"/>
            </w:pPr>
            <w:r>
              <w:t>▸ Änderungsanomalie: Premiere von „Der Hof des Mondkönigs“ in der Zeile Ritterrüstung 2027-03-12 statt 2027-03-19 (1)</w:t>
            </w:r>
          </w:p>
          <w:p>
            <w:pPr>
              <w:pStyle w:val="DDTabellentext"/>
              <w:spacing w:after="60"/>
            </w:pPr>
            <w:r>
              <w:t>▸ Löschanomalie: Zeile Königsmantel/Mondkönig ist die einzige zu Kostüm 11 und Rolle 11 (1)</w:t>
            </w:r>
          </w:p>
          <w:p>
            <w:pPr>
              <w:pStyle w:val="DDTabellentext"/>
              <w:spacing w:after="60"/>
            </w:pPr>
            <w:r>
              <w:t>▸ Einfügeanomalie: Kostüm ohne geplante Rolle bzw. neues Stück ohne Kostüm nicht eintragbar (1)</w:t>
            </w:r>
          </w:p>
          <w:p>
            <w:pPr>
              <w:pStyle w:val="DDTabellentext"/>
              <w:spacing w:after="60"/>
            </w:pPr>
            <w:r>
              <w:t>▸ Zusammenhang zwischen Redundanz und Anomalie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Kostuem – Ausleihe – Mitglied (1)</w:t>
            </w:r>
          </w:p>
          <w:p>
            <w:pPr>
              <w:pStyle w:val="DDTabellentext"/>
              <w:spacing w:after="60"/>
            </w:pPr>
            <w:r>
              <w:t>▸ Bedingung Ausleihe.Bis IS NULL (1)</w:t>
            </w:r>
          </w:p>
          <w:p>
            <w:pPr>
              <w:pStyle w:val="DDTabellentext"/>
              <w:spacing w:after="60"/>
            </w:pPr>
            <w:r>
              <w:t>▸ Ausgabe Bezeichnung, Vorname, Nachname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vier Tabellen im FROM (1)</w:t>
            </w:r>
          </w:p>
          <w:p>
            <w:pPr>
              <w:pStyle w:val="DDTabellentext"/>
              <w:spacing w:after="60"/>
            </w:pPr>
            <w:r>
              <w:t>▸ drei korrekte Verbundbedingungen über die Fremdschlüssel (1)</w:t>
            </w:r>
          </w:p>
          <w:p>
            <w:pPr>
              <w:pStyle w:val="DDTabellentext"/>
              <w:spacing w:after="60"/>
            </w:pPr>
            <w:r>
              <w:t>▸ Bedingung Epoche = 'Barock' (1)</w:t>
            </w:r>
          </w:p>
          <w:p>
            <w:pPr>
              <w:pStyle w:val="DDTabellentext"/>
              <w:spacing w:after="60"/>
            </w:pPr>
            <w:r>
              <w:t>▸ Ausgabe mit eindeutigen Spaltennamen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Mitglied – Ausleihe (1)</w:t>
            </w:r>
          </w:p>
          <w:p>
            <w:pPr>
              <w:pStyle w:val="DDTabellentext"/>
              <w:spacing w:after="60"/>
            </w:pPr>
            <w:r>
              <w:t>▸ COUNT(*) je Mitglied mit GROUP BY MitgliedNr, Vorname, Nachname (1)</w:t>
            </w:r>
          </w:p>
          <w:p>
            <w:pPr>
              <w:pStyle w:val="DDTabellentext"/>
              <w:spacing w:after="60"/>
            </w:pPr>
            <w:r>
              <w:t>▸ HAVING COUNT(*) &gt; 3 (1)</w:t>
            </w:r>
          </w:p>
          <w:p>
            <w:pPr>
              <w:pStyle w:val="DDTabellentext"/>
              <w:spacing w:after="60"/>
            </w:pPr>
            <w:r>
              <w:t>▸ ORDER BY COUNT(*) DESC (1)</w:t>
            </w:r>
          </w:p>
          <w:p>
            <w:pPr>
              <w:pStyle w:val="DDTabellentext"/>
              <w:spacing w:after="60"/>
            </w:pPr>
            <w:r>
              <w:t>▸ LIMIT 3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alle Mitglieder, deren Patin bzw. Pate eine 12. Klasse besucht, mit Name und Klasse sowie Name der Patin bzw. des Paten (2)</w:t>
            </w:r>
          </w:p>
          <w:p>
            <w:pPr>
              <w:pStyle w:val="DDTabellentext"/>
              <w:spacing w:after="60"/>
            </w:pPr>
            <w:r>
              <w:t>▸ Erläuterung: zwei Rollen derselben Relation (m = betreutes Mitglied, p = Pate), LIKE '12%' (1)</w:t>
            </w:r>
          </w:p>
          <w:p>
            <w:pPr>
              <w:pStyle w:val="DDTabellentext"/>
              <w:spacing w:after="60"/>
            </w:pPr>
            <w:r>
              <w:t>▸ Mitglieder ohne Pate oder mit Pate aus Jahrgang 11 fehlen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h)</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Schritt 1: alle Kostüme abfragen (1)</w:t>
            </w:r>
          </w:p>
          <w:p>
            <w:pPr>
              <w:pStyle w:val="DDTabellentext"/>
              <w:spacing w:after="60"/>
            </w:pPr>
            <w:r>
              <w:t>▸ Schritt 2: alle KostuemNr aus Ausleihe (DISTINCT) (1)</w:t>
            </w:r>
          </w:p>
          <w:p>
            <w:pPr>
              <w:pStyle w:val="DDTabellentext"/>
              <w:spacing w:after="60"/>
            </w:pPr>
            <w:r>
              <w:t>▸ Vergleich der Listen und Begründung, warum ein Verbund allein nicht genügt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53 % · III 17 %)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pPr>
        <w:pStyle w:val="Heading2"/>
      </w:pPr>
      <w:r>
        <w:t>Bewertungsbogen – Aufgabe B · Kostümliste und Schulhomepage (15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Verantwortliche mit Telefon mehrfach (Kerstin Haake viermal) (1)</w:t>
            </w:r>
          </w:p>
          <w:p>
            <w:pPr>
              <w:pStyle w:val="DDTabellentext"/>
              <w:spacing w:after="60"/>
            </w:pPr>
            <w:r>
              <w:t>▸ nicht-atomar: Rollen, Stücke, Verantwortliche, Telefon als Listen (1)</w:t>
            </w:r>
          </w:p>
          <w:p>
            <w:pPr>
              <w:pStyle w:val="DDTabellentext"/>
              <w:spacing w:after="60"/>
            </w:pPr>
            <w:r>
              <w:t>▸ Folge: Stuecke = 'Der Hof des Mondkönigs' findet das Justaucorps rot nicht; Zuordnung von Rolle und Stück nur über die Reihenfolge (1)</w:t>
            </w:r>
          </w:p>
          <w:p>
            <w:pPr>
              <w:pStyle w:val="DDTabellentext"/>
              <w:spacing w:after="60"/>
            </w:pPr>
            <w:r>
              <w:t>▸ begründete Einordnung, z. B. LIKE unsicher, manuelle Prüfung nötig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Einfügeanomalie: neues Stück oder neue verantwortliche Person ohne Kostüm nicht eintragbar (1)</w:t>
            </w:r>
          </w:p>
          <w:p>
            <w:pPr>
              <w:pStyle w:val="DDTabellentext"/>
              <w:spacing w:after="60"/>
            </w:pPr>
            <w:r>
              <w:t>▸ Löschanomalie: Löschen der Zeile Toga entfernt die einzige Angabe zur Rolle „Chor“ (1)</w:t>
            </w:r>
          </w:p>
          <w:p>
            <w:pPr>
              <w:pStyle w:val="DDTabellentext"/>
              <w:spacing w:after="60"/>
            </w:pPr>
            <w:r>
              <w:t>▸ jeweils am Datensatz erläutert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Fotos/Namen personenbezogen; Einwilligung nötig, Publikum ohne Einwilligung (1)</w:t>
            </w:r>
          </w:p>
          <w:p>
            <w:pPr>
              <w:pStyle w:val="DDTabellentext"/>
              <w:spacing w:after="60"/>
            </w:pPr>
            <w:r>
              <w:t>▸ zwei Grundsätze am Fall: Zweckbindung, Datenminimierung (Klasse überflüssig) (2)</w:t>
            </w:r>
          </w:p>
          <w:p>
            <w:pPr>
              <w:pStyle w:val="DDTabellentext"/>
              <w:spacing w:after="60"/>
            </w:pPr>
            <w:r>
              <w:t>▸ Abgrenzung Datenschutz – Datensicherheit (1)</w:t>
            </w:r>
          </w:p>
          <w:p>
            <w:pPr>
              <w:pStyle w:val="DDTabellentext"/>
              <w:spacing w:after="60"/>
            </w:pPr>
            <w:r>
              <w:t>▸ begründetes Urteil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Chance: Verluste vermeiden, Kostümpflege planbar (1)</w:t>
            </w:r>
          </w:p>
          <w:p>
            <w:pPr>
              <w:pStyle w:val="DDTabellentext"/>
              <w:spacing w:after="60"/>
            </w:pPr>
            <w:r>
              <w:t>▸ Risiko: Profilbildung, Fehlbewertung (Gründe für Verspätung unbekannt), Benachteiligung bei Rollen (1)</w:t>
            </w:r>
          </w:p>
          <w:p>
            <w:pPr>
              <w:pStyle w:val="DDTabellentext"/>
              <w:spacing w:after="60"/>
            </w:pPr>
            <w:r>
              <w:t>▸ abwägendes Fazit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20 % · II 53 % · III 27 %)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8</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15</w:t>
            </w:r>
          </w:p>
        </w:tc>
      </w:tr>
    </w:tbl>
    <w:p>
      <w:pPr>
        <w:spacing w:after="0" w:line="160" w:lineRule="exact"/>
      </w:pPr>
    </w:p>
    <w:p>
      <w:r>
        <w:rPr>
          <w:b/>
        </w:rPr>
        <w:t>Gesamt:</w:t>
      </w:r>
      <w:r>
        <w:t xml:space="preserve"> 45 BE · AFB I 12 BE (27 %) · II 24 BE (53 %) · III 9 BE (20 %).</w:t>
      </w:r>
    </w:p>
    <w:p>
      <w:pPr>
        <w:pStyle w:val="Heading1"/>
        <w:pageBreakBefore/>
      </w:pPr>
      <w:r>
        <w:t>Aufgaben mit Musterlösungen</w:t>
      </w:r>
    </w:p>
    <w:p>
      <w:pPr>
        <w:pStyle w:val="Heading1"/>
        <w:pageBreakBefore w:val="0"/>
      </w:pPr>
      <w:r>
        <w:t>Aufgabe A · Kostümverleih der Theater-AG (30 BE)</w:t>
      </w:r>
    </w:p>
    <w:p>
      <w:r>
        <w:t>Die Theater-AG eines Gymnasiums verleiht ihren Kostümfundus an die eigenen Mitglieder für Proben und Aufführungen. Erfasst wird, wer welches Kostüm für welche Rolle in welchem Stück von wann bis wann ausgeliehen hat; Bis ist NULL, solange das Kostüm nicht zurückgegeben ist. Ältere Mitglieder begleiten als Patin bzw. Pate neue Mitglieder.</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Mitglied(</w:t>
            </w:r>
            <w:r>
              <w:rPr>
                <w:rFonts w:ascii="IBM Plex Mono" w:hAnsi="IBM Plex Mono" w:eastAsia="IBM Plex Mono" w:cs="IBM Plex Mono"/>
                <w:sz w:val="18"/>
                <w:u w:val="single"/>
              </w:rPr>
              <w:t>MitgliedNr</w:t>
            </w:r>
            <w:r>
              <w:rPr>
                <w:rFonts w:ascii="IBM Plex Mono" w:hAnsi="IBM Plex Mono" w:eastAsia="IBM Plex Mono" w:cs="IBM Plex Mono"/>
                <w:sz w:val="18"/>
              </w:rPr>
              <w:t xml:space="preserve">, Vorname, Nachname, Klasse, </w:t>
            </w:r>
            <w:r>
              <w:rPr>
                <w:rFonts w:ascii="IBM Plex Mono" w:hAnsi="IBM Plex Mono" w:eastAsia="IBM Plex Mono" w:cs="IBM Plex Mono"/>
                <w:color w:val="B3261E"/>
                <w:sz w:val="18"/>
              </w:rPr>
              <w:t>↑</w:t>
            </w:r>
            <w:r>
              <w:rPr>
                <w:rFonts w:ascii="IBM Plex Mono" w:hAnsi="IBM Plex Mono" w:eastAsia="IBM Plex Mono" w:cs="IBM Plex Mono"/>
                <w:sz w:val="18"/>
              </w:rPr>
              <w:t>PateNr)</w:t>
            </w:r>
          </w:p>
          <w:p>
            <w:pPr>
              <w:spacing w:after="100"/>
            </w:pPr>
            <w:r>
              <w:rPr>
                <w:rFonts w:ascii="IBM Plex Mono" w:hAnsi="IBM Plex Mono" w:eastAsia="IBM Plex Mono" w:cs="IBM Plex Mono"/>
                <w:sz w:val="18"/>
              </w:rPr>
              <w:t>Kostuem(</w:t>
            </w:r>
            <w:r>
              <w:rPr>
                <w:rFonts w:ascii="IBM Plex Mono" w:hAnsi="IBM Plex Mono" w:eastAsia="IBM Plex Mono" w:cs="IBM Plex Mono"/>
                <w:sz w:val="18"/>
                <w:u w:val="single"/>
              </w:rPr>
              <w:t>KostuemNr</w:t>
            </w:r>
            <w:r>
              <w:rPr>
                <w:rFonts w:ascii="IBM Plex Mono" w:hAnsi="IBM Plex Mono" w:eastAsia="IBM Plex Mono" w:cs="IBM Plex Mono"/>
                <w:sz w:val="18"/>
              </w:rPr>
              <w:t>, Bezeichnung, Groesse, Epoche, Zustand)</w:t>
            </w:r>
          </w:p>
          <w:p>
            <w:pPr>
              <w:spacing w:after="100"/>
            </w:pPr>
            <w:r>
              <w:rPr>
                <w:rFonts w:ascii="IBM Plex Mono" w:hAnsi="IBM Plex Mono" w:eastAsia="IBM Plex Mono" w:cs="IBM Plex Mono"/>
                <w:sz w:val="18"/>
              </w:rPr>
              <w:t>Stueck(</w:t>
            </w:r>
            <w:r>
              <w:rPr>
                <w:rFonts w:ascii="IBM Plex Mono" w:hAnsi="IBM Plex Mono" w:eastAsia="IBM Plex Mono" w:cs="IBM Plex Mono"/>
                <w:sz w:val="18"/>
                <w:u w:val="single"/>
              </w:rPr>
              <w:t>StueckNr</w:t>
            </w:r>
            <w:r>
              <w:rPr>
                <w:rFonts w:ascii="IBM Plex Mono" w:hAnsi="IBM Plex Mono" w:eastAsia="IBM Plex Mono" w:cs="IBM Plex Mono"/>
                <w:sz w:val="18"/>
              </w:rPr>
              <w:t>, Titel, Premiere)</w:t>
            </w:r>
          </w:p>
          <w:p>
            <w:pPr>
              <w:spacing w:after="100"/>
            </w:pPr>
            <w:r>
              <w:rPr>
                <w:rFonts w:ascii="IBM Plex Mono" w:hAnsi="IBM Plex Mono" w:eastAsia="IBM Plex Mono" w:cs="IBM Plex Mono"/>
                <w:sz w:val="18"/>
              </w:rPr>
              <w:t>Rolle(</w:t>
            </w:r>
            <w:r>
              <w:rPr>
                <w:rFonts w:ascii="IBM Plex Mono" w:hAnsi="IBM Plex Mono" w:eastAsia="IBM Plex Mono" w:cs="IBM Plex Mono"/>
                <w:sz w:val="18"/>
                <w:u w:val="single"/>
              </w:rPr>
              <w:t>RollenNr</w:t>
            </w:r>
            <w:r>
              <w:rPr>
                <w:rFonts w:ascii="IBM Plex Mono" w:hAnsi="IBM Plex Mono" w:eastAsia="IBM Plex Mono" w:cs="IBM Plex Mono"/>
                <w:sz w:val="18"/>
              </w:rPr>
              <w:t xml:space="preserve">, Name, </w:t>
            </w:r>
            <w:r>
              <w:rPr>
                <w:rFonts w:ascii="IBM Plex Mono" w:hAnsi="IBM Plex Mono" w:eastAsia="IBM Plex Mono" w:cs="IBM Plex Mono"/>
                <w:color w:val="B3261E"/>
                <w:sz w:val="18"/>
              </w:rPr>
              <w:t>↑</w:t>
            </w:r>
            <w:r>
              <w:rPr>
                <w:rFonts w:ascii="IBM Plex Mono" w:hAnsi="IBM Plex Mono" w:eastAsia="IBM Plex Mono" w:cs="IBM Plex Mono"/>
                <w:sz w:val="18"/>
              </w:rPr>
              <w:t>StueckNr)</w:t>
            </w:r>
          </w:p>
          <w:p>
            <w:pPr>
              <w:spacing w:after="100"/>
            </w:pPr>
            <w:r>
              <w:rPr>
                <w:rFonts w:ascii="IBM Plex Mono" w:hAnsi="IBM Plex Mono" w:eastAsia="IBM Plex Mono" w:cs="IBM Plex Mono"/>
                <w:sz w:val="18"/>
              </w:rPr>
              <w:t>Ausleihe(</w:t>
            </w:r>
            <w:r>
              <w:rPr>
                <w:rFonts w:ascii="IBM Plex Mono" w:hAnsi="IBM Plex Mono" w:eastAsia="IBM Plex Mono" w:cs="IBM Plex Mono"/>
                <w:sz w:val="18"/>
                <w:u w:val="single"/>
              </w:rPr>
              <w:t>AusleihNr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KostuemNr, </w:t>
            </w:r>
            <w:r>
              <w:rPr>
                <w:rFonts w:ascii="IBM Plex Mono" w:hAnsi="IBM Plex Mono" w:eastAsia="IBM Plex Mono" w:cs="IBM Plex Mono"/>
                <w:color w:val="B3261E"/>
                <w:sz w:val="18"/>
              </w:rPr>
              <w:t>↑</w:t>
            </w:r>
            <w:r>
              <w:rPr>
                <w:rFonts w:ascii="IBM Plex Mono" w:hAnsi="IBM Plex Mono" w:eastAsia="IBM Plex Mono" w:cs="IBM Plex Mono"/>
                <w:sz w:val="18"/>
              </w:rPr>
              <w:t xml:space="preserve">MitgliedNr, </w:t>
            </w:r>
            <w:r>
              <w:rPr>
                <w:rFonts w:ascii="IBM Plex Mono" w:hAnsi="IBM Plex Mono" w:eastAsia="IBM Plex Mono" w:cs="IBM Plex Mono"/>
                <w:color w:val="B3261E"/>
                <w:sz w:val="18"/>
              </w:rPr>
              <w:t>↑</w:t>
            </w:r>
            <w:r>
              <w:rPr>
                <w:rFonts w:ascii="IBM Plex Mono" w:hAnsi="IBM Plex Mono" w:eastAsia="IBM Plex Mono" w:cs="IBM Plex Mono"/>
                <w:sz w:val="18"/>
              </w:rPr>
              <w:t>RollenNr, Von, Bis)</w:t>
            </w:r>
          </w:p>
          <w:p>
            <w:pPr>
              <w:pStyle w:val="DDTabellentext"/>
              <w:spacing w:after="60"/>
            </w:pPr>
            <w:r>
              <w:rPr>
                <w:rFonts w:ascii="IBM Plex Mono" w:hAnsi="IBM Plex Mono" w:eastAsia="IBM Plex Mono" w:cs="IBM Plex Mono"/>
                <w:color w:val="B3261E"/>
              </w:rPr>
              <w:t>↑</w:t>
            </w:r>
            <w:r>
              <w:t>PateNr verweist auf die MitgliedNr der Patin bzw. des Paten (NULL: ohne Pate). Epoche: 'Antike', 'Mittelalter', 'Barock', '19. Jahrhundert', 'Moderne' · Groesse 'S', 'M', 'L', 'XL' · Zustand 'gut', 'reparaturbedürftig' · Klasse '7a' … '12c' · Datum 'JJJJ-MM-TT'.</w:t>
            </w:r>
          </w:p>
        </w:tc>
      </w:tr>
    </w:tbl>
    <w:p>
      <w:pPr>
        <w:spacing w:after="0" w:line="160" w:lineRule="exact"/>
      </w:pPr>
    </w:p>
    <w:p>
      <w:r>
        <w:rPr>
          <w:i/>
        </w:rPr>
        <w:t>Material 2 · Ausschnitte aus den Tabellen – siehe Aufgabenblatt.</w:t>
      </w:r>
    </w:p>
    <w:p>
      <w:r>
        <w:rPr>
          <w:i/>
        </w:rPr>
        <w:t>Material 3 · Tabelle KostuemRolle – siehe Aufgabenblatt.</w:t>
      </w:r>
    </w:p>
    <w:p>
      <w:pPr>
        <w:keepNext/>
        <w:tabs>
          <w:tab w:pos="454" w:val="left"/>
        </w:tabs>
        <w:spacing w:before="160"/>
        <w:ind w:left="454" w:hanging="454"/>
      </w:pPr>
      <w:r>
        <w:rPr>
          <w:b/>
        </w:rPr>
        <w:t>a)</w:t>
        <w:tab/>
      </w:r>
      <w:r>
        <w:rPr>
          <w:b/>
        </w:rPr>
        <w:t>Erläutern</w:t>
      </w:r>
      <w:r>
        <w:t xml:space="preserve"> Sie die Kennzeichnungen in den Relationen Ausleihe und Mitglied (Material 1), insbesondere die Bedeutung von </w:t>
      </w:r>
      <w:r>
        <w:rPr>
          <w:rFonts w:ascii="IBM Plex Mono" w:hAnsi="IBM Plex Mono" w:eastAsia="IBM Plex Mono" w:cs="IBM Plex Mono"/>
          <w:color w:val="B3261E"/>
        </w:rPr>
        <w:t>↑</w:t>
      </w:r>
      <w:r>
        <w:t>PateNr.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Ausleihe ist AusleihNr Primärschlüssel; </w:t>
            </w:r>
            <w:r>
              <w:rPr>
                <w:rFonts w:ascii="IBM Plex Mono" w:hAnsi="IBM Plex Mono" w:eastAsia="IBM Plex Mono" w:cs="IBM Plex Mono"/>
                <w:color w:val="B3261E"/>
              </w:rPr>
              <w:t>↑</w:t>
            </w:r>
            <w:r>
              <w:t xml:space="preserve">KostuemNr, </w:t>
            </w:r>
            <w:r>
              <w:rPr>
                <w:rFonts w:ascii="IBM Plex Mono" w:hAnsi="IBM Plex Mono" w:eastAsia="IBM Plex Mono" w:cs="IBM Plex Mono"/>
                <w:color w:val="B3261E"/>
              </w:rPr>
              <w:t>↑</w:t>
            </w:r>
            <w:r>
              <w:t xml:space="preserve">MitgliedNr und </w:t>
            </w:r>
            <w:r>
              <w:rPr>
                <w:rFonts w:ascii="IBM Plex Mono" w:hAnsi="IBM Plex Mono" w:eastAsia="IBM Plex Mono" w:cs="IBM Plex Mono"/>
                <w:color w:val="B3261E"/>
              </w:rPr>
              <w:t>↑</w:t>
            </w:r>
            <w:r>
              <w:t xml:space="preserve">RollenNr sind Fremdschlüssel und halten fest, welches Kostüm von wem für welche Rolle ausgeliehen wurde. In Mitglied ist MitgliedNr Primärschlüssel; </w:t>
            </w:r>
            <w:r>
              <w:rPr>
                <w:rFonts w:ascii="IBM Plex Mono" w:hAnsi="IBM Plex Mono" w:eastAsia="IBM Plex Mono" w:cs="IBM Plex Mono"/>
                <w:color w:val="B3261E"/>
              </w:rPr>
              <w:t>↑</w:t>
            </w:r>
            <w:r>
              <w:t>PateNr ist ein Fremdschlüssel auf Mitglied.MitgliedNr – also auf ein anderes Mitglied derselben Relation, die Patin bzw. den Paten (rekursive Beziehung *istPateVon*). Der Name weicht ab, weil MitgliedNr schon vergeben ist; NULL bedeutet „ohne Pate“ (z. B. Greta Schwarting).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w:t>
            </w:r>
            <w:r>
              <w:rPr>
                <w:rFonts w:ascii="IBM Plex Mono" w:hAnsi="IBM Plex Mono" w:eastAsia="IBM Plex Mono" w:cs="IBM Plex Mono"/>
                <w:color w:val="B3261E"/>
              </w:rPr>
              <w:t>↑</w:t>
            </w:r>
            <w:r>
              <w:t>PateNr als Verweis auf eine Relation Pate gedeutet.</w:t>
            </w:r>
          </w:p>
          <w:p>
            <w:pPr>
              <w:pStyle w:val="DDTabellentext"/>
            </w:pPr>
            <w:r>
              <w:rPr>
                <w:rFonts w:ascii="IBM Plex Mono" w:hAnsi="IBM Plex Mono" w:eastAsia="IBM Plex Mono" w:cs="IBM Plex Mono"/>
                <w:b/>
                <w:color w:val="B3261E"/>
                <w:sz w:val="15"/>
                <w:shd w:val="clear" w:color="auto" w:fill="F8E3DF"/>
              </w:rPr>
              <w:t>◆ P10</w:t>
            </w:r>
            <w:r>
              <w:t xml:space="preserve">  Kennzeichnungen nur benannt.</w:t>
            </w:r>
          </w:p>
        </w:tc>
      </w:tr>
    </w:tbl>
    <w:p>
      <w:pPr>
        <w:spacing w:after="0" w:line="160" w:lineRule="exact"/>
      </w:pPr>
    </w:p>
    <w:p>
      <w:pPr>
        <w:keepNext/>
        <w:tabs>
          <w:tab w:pos="454" w:val="left"/>
        </w:tabs>
        <w:spacing w:before="160"/>
        <w:ind w:left="454" w:hanging="454"/>
      </w:pPr>
      <w:r>
        <w:rPr>
          <w:b/>
        </w:rPr>
        <w:t>b)</w:t>
        <w:tab/>
      </w:r>
      <w:r>
        <w:t xml:space="preserve">Mitglieder leihen dasselbe Kostüm mitunter mehrfach aus, etwa erst für Proben und später für die Aufführungen. </w:t>
      </w:r>
      <w:r>
        <w:rPr>
          <w:b/>
        </w:rPr>
        <w:t>Beurteilen</w:t>
      </w:r>
      <w:r>
        <w:t xml:space="preserve"> Sie, ob (KostuemNr, MitgliedNr) anstelle von AusleihNr als Primärschlüssel der Relation Ausleihe geeignet wäre.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Das Paar ist </w:t>
            </w:r>
            <w:r>
              <w:rPr>
                <w:b/>
              </w:rPr>
              <w:t>ungeeignet</w:t>
            </w:r>
            <w:r>
              <w:t>: Wiederholte Ausleihen sind ausdrücklich vorgesehen und kommen in den Daten vor – Mitglied 6 hat Kostüm 15 zweimal ausgeliehen (Ausleihe 2 und 9). Beide Ausleihen hätten denselben Schlüsselwert. Eindeutig wäre z. B. (KostuemNr, MitgliedNr, Von), weil dasselbe Mitglied dasselbe Kostüm nicht zweimal am selben Tag ausleiht; einfacher bleibt der künstliche Schlüssel AusleihNr.</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„kommt im Ausschnitt nicht doppelt vor“ bzw. Zeilen 2/9 übersehen.</w:t>
            </w:r>
          </w:p>
          <w:p>
            <w:pPr>
              <w:pStyle w:val="DDTabellentext"/>
            </w:pPr>
            <w:r>
              <w:rPr>
                <w:rFonts w:ascii="IBM Plex Mono" w:hAnsi="IBM Plex Mono" w:eastAsia="IBM Plex Mono" w:cs="IBM Plex Mono"/>
                <w:b/>
                <w:color w:val="B3261E"/>
                <w:sz w:val="15"/>
                <w:shd w:val="clear" w:color="auto" w:fill="F8E3DF"/>
              </w:rPr>
              <w:t>◆ P8</w:t>
            </w:r>
            <w:r>
              <w:t xml:space="preserve">  (KostuemNr, Von) vorgeschlagen, ohne Minimalität und Eindeutigkeit zu begründen.</w:t>
            </w:r>
          </w:p>
        </w:tc>
      </w:tr>
    </w:tbl>
    <w:p>
      <w:pPr>
        <w:spacing w:after="0" w:line="160" w:lineRule="exact"/>
      </w:pPr>
    </w:p>
    <w:p>
      <w:pPr>
        <w:keepNext/>
        <w:tabs>
          <w:tab w:pos="454" w:val="left"/>
        </w:tabs>
        <w:spacing w:before="160"/>
        <w:ind w:left="454" w:hanging="454"/>
      </w:pPr>
      <w:r>
        <w:rPr>
          <w:b/>
        </w:rPr>
        <w:t>c)</w:t>
        <w:tab/>
      </w:r>
      <w:r>
        <w:rPr>
          <w:b/>
        </w:rPr>
        <w:t>Untersuchen</w:t>
      </w:r>
      <w:r>
        <w:t xml:space="preserve"> Sie die Tabelle KostuemRolle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Redundant</w:t>
            </w:r>
            <w:r>
              <w:t xml:space="preserve"> sind Titel und Premiere des Stücks (neunmal „Der Hof des Mondkönigs“) sowie die Bezeichnung eines Kostüms, das mehreren Rollen zugeordnet ist (Justaucorps rot zweimal).</w:t>
            </w:r>
          </w:p>
          <w:p>
            <w:pPr>
              <w:pStyle w:val="DDTabellentext"/>
              <w:spacing w:after="60"/>
            </w:pPr>
            <w:r>
              <w:rPr>
                <w:b/>
              </w:rPr>
              <w:t>Änderungsanomalie:</w:t>
            </w:r>
            <w:r>
              <w:t xml:space="preserve"> Eine Verschiebung der Premiere muss in allen Zeilen nachgetragen werden – in der Zeile Ritterrüstung steht bereits 2027-03-12 statt 2027-03-19.</w:t>
            </w:r>
          </w:p>
          <w:p>
            <w:pPr>
              <w:pStyle w:val="DDTabellentext"/>
              <w:spacing w:after="60"/>
            </w:pPr>
            <w:r>
              <w:rPr>
                <w:b/>
              </w:rPr>
              <w:t>Löschanomalie:</w:t>
            </w:r>
            <w:r>
              <w:t xml:space="preserve"> Wird die Zuordnung Königsmantel – Mondkönig gestrichen, sind Bezeichnung des Kostüms 11 und Name der Rolle 11 nicht mehr gespeichert.</w:t>
            </w:r>
          </w:p>
          <w:p>
            <w:pPr>
              <w:pStyle w:val="DDTabellentext"/>
              <w:spacing w:after="60"/>
            </w:pPr>
            <w:r>
              <w:rPr>
                <w:b/>
              </w:rPr>
              <w:t>Einfügeanomalie:</w:t>
            </w:r>
            <w:r>
              <w:t xml:space="preserve"> Ein neues Kostüm oder ein neues Stück lässt sich erst eintragen, wenn es eine Zuordnung von Kostüm und Rolle gibt.</w:t>
            </w:r>
          </w:p>
          <w:p>
            <w:pPr>
              <w:pStyle w:val="DDTabellentext"/>
              <w:spacing w:after="60"/>
            </w:pPr>
            <w:r>
              <w:t>Ursache: Angaben, die nur vom Stück bzw. nur vom Kostüm abhängen, stehen in jeder Zuordnungszeile.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Anomalien ohne konkrete Zeilen; Redundanz mit „doppelte Zeile“ verwechselt.</w:t>
            </w:r>
          </w:p>
        </w:tc>
      </w:tr>
    </w:tbl>
    <w:p>
      <w:pPr>
        <w:spacing w:after="0" w:line="160" w:lineRule="exact"/>
      </w:pPr>
    </w:p>
    <w:p>
      <w:pPr>
        <w:keepNext/>
        <w:tabs>
          <w:tab w:pos="454" w:val="left"/>
        </w:tabs>
        <w:spacing w:before="160"/>
        <w:ind w:left="454" w:hanging="454"/>
      </w:pPr>
      <w:r>
        <w:rPr>
          <w:b/>
        </w:rPr>
        <w:t>d)</w:t>
        <w:tab/>
      </w:r>
      <w:r>
        <w:rPr>
          <w:b/>
        </w:rPr>
        <w:t>Entwerfen</w:t>
      </w:r>
      <w:r>
        <w:t xml:space="preserve"> Sie eine SQL-Abfrage, die für alle noch nicht zurückgegebenen Kostüme die Bezeichnung sowie Vor- und Nachname des ausleihenden Mitglieds ausgibt.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Kostuem.Bezeichnung, Mitglied.Vorname, Mitglied.Nachname</w:t>
              <w:br/>
              <w:t>FROM Kostuem, Ausleihe, Mitglied</w:t>
              <w:br/>
              <w:t>WHERE Kostuem.KostuemNr = Ausleihe.KostuemNr</w:t>
              <w:br/>
              <w:t xml:space="preserve">  AND Ausleihe.MitgliedNr = Mitglied.MitgliedNr</w:t>
              <w:br/>
              <w:t xml:space="preserve">  AND Ausleihe.Bis IS NULL</w:t>
            </w:r>
          </w:p>
          <w:tbl>
            <w:tblPr>
              <w:tblStyle w:val="Ergebnistabelle"/>
              <w:jc w:val="left"/>
              <w:tblLayout w:type="fixed"/>
              <w:tblLook w:firstColumn="1" w:firstRow="1" w:lastColumn="0" w:lastRow="0" w:noHBand="0" w:noVBand="1" w:val="04A0"/>
              <w:tblW w:w="5556" w:type="dxa"/>
            </w:tblPr>
            <w:tblGrid>
              <w:gridCol w:w="2835"/>
              <w:gridCol w:w="1134"/>
              <w:gridCol w:w="1587"/>
            </w:tblGrid>
            <w:tr>
              <w:trPr>
                <w:tblHeader/>
              </w:trPr>
              <w:tc>
                <w:tcPr>
                  <w:tcW w:type="dxa" w:w="283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Kettenhemd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Ole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Klattenhoff</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Hafenmeisterin-Uniform</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Aylin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Rossi</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Orakelgewand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Tebbe</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Matrosenanzug</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Linus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Wachtendorf</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Tunika</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Zoe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Mammen</w:t>
                  </w:r>
                </w:p>
              </w:tc>
            </w:tr>
            <w:tr>
              <w:tc>
                <w:tcPr>
                  <w:tcW w:type="dxa" w:w="2835"/>
                  <w:tcBorders>
                    <w:top w:val="single" w:sz="4" w:space="0" w:color="D8CCB6"/>
                    <w:left w:val="single" w:sz="4" w:space="0" w:color="D8CCB6"/>
                    <w:bottom w:val="single" w:sz="4" w:space="0" w:color="D8CCB6"/>
                    <w:right w:val="single" w:sz="4" w:space="0" w:color="D8CCB6"/>
                  </w:tcBorders>
                </w:tcPr>
                <w:p>
                  <w:pPr>
                    <w:pStyle w:val="DDTabellentext"/>
                  </w:pPr>
                  <w:r>
                    <w:rPr>
                      <w:sz w:val="18"/>
                    </w:rPr>
                    <w:t>Toga</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Bente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Heinemeyer</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P5</w:t>
            </w:r>
            <w:r>
              <w:t xml:space="preserve">  Bis = NULL – liefert kein Ergebnis.</w:t>
            </w:r>
          </w:p>
          <w:p>
            <w:pPr>
              <w:pStyle w:val="DDTabellentext"/>
            </w:pPr>
            <w:r>
              <w:rPr>
                <w:rFonts w:ascii="IBM Plex Mono" w:hAnsi="IBM Plex Mono" w:eastAsia="IBM Plex Mono" w:cs="IBM Plex Mono"/>
                <w:b/>
                <w:color w:val="B3261E"/>
                <w:sz w:val="15"/>
                <w:shd w:val="clear" w:color="auto" w:fill="F8E3DF"/>
              </w:rPr>
              <w:t>◆ P2</w:t>
            </w:r>
            <w:r>
              <w:t xml:space="preserve">  Verbundbedingung zu Mitglied vergessen.</w:t>
            </w:r>
          </w:p>
        </w:tc>
      </w:tr>
    </w:tbl>
    <w:p>
      <w:pPr>
        <w:spacing w:after="0" w:line="160" w:lineRule="exact"/>
      </w:pPr>
    </w:p>
    <w:p>
      <w:pPr>
        <w:keepNext/>
        <w:tabs>
          <w:tab w:pos="454" w:val="left"/>
        </w:tabs>
        <w:spacing w:before="160"/>
        <w:ind w:left="454" w:hanging="454"/>
      </w:pPr>
      <w:r>
        <w:rPr>
          <w:b/>
        </w:rPr>
        <w:t>e)</w:t>
        <w:tab/>
      </w:r>
      <w:r>
        <w:rPr>
          <w:b/>
        </w:rPr>
        <w:t>Entwerfen</w:t>
      </w:r>
      <w:r>
        <w:t xml:space="preserve"> Sie eine SQL-Abfrage, die für alle Ausleihen von Kostümen der Epoche Barock den Titel des Stücks, den Namen der Rolle und die Bezeichnung des Kostüms ausgibt.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Stueck.Titel, Rolle.Name, Kostuem.Bezeichnung</w:t>
              <w:br/>
              <w:t>FROM Stueck, Rolle, Ausleihe, Kostuem</w:t>
              <w:br/>
              <w:t>WHERE Stueck.StueckNr = Rolle.StueckNr</w:t>
              <w:br/>
              <w:t xml:space="preserve">  AND Rolle.RollenNr = Ausleihe.RollenNr</w:t>
              <w:br/>
              <w:t xml:space="preserve">  AND Ausleihe.KostuemNr = Kostuem.KostuemNr</w:t>
              <w:br/>
              <w:t xml:space="preserve">  AND Kostuem.Epoche = 'Barock'</w:t>
            </w:r>
          </w:p>
          <w:tbl>
            <w:tblPr>
              <w:tblStyle w:val="Ergebnistabelle"/>
              <w:jc w:val="left"/>
              <w:tblLayout w:type="fixed"/>
              <w:tblLook w:firstColumn="1" w:firstRow="1" w:lastColumn="0" w:lastRow="0" w:noHBand="0" w:noVBand="1" w:val="04A0"/>
              <w:tblW w:w="8051" w:type="dxa"/>
            </w:tblPr>
            <w:tblGrid>
              <w:gridCol w:w="2948"/>
              <w:gridCol w:w="2721"/>
              <w:gridCol w:w="2381"/>
            </w:tblGrid>
            <w:tr>
              <w:trPr>
                <w:tblHeader/>
              </w:trPr>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Titel</w:t>
                  </w:r>
                </w:p>
              </w:tc>
              <w:tc>
                <w:tcPr>
                  <w:tcW w:type="dxa" w:w="272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238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Kammerdiener</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Justaucorps rot</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Kammerdiener</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Dienerlivree</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Zofe</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Zofenkleid</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Hofmusikus</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Musikantenrock</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rosé</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blau</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Das Fest im Spiegelsaal</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Gräfin</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Reifrockkleid grün</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Der Hof des Mondkönigs</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Gesandter aus Venedig</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Justaucorps rot</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Der Hof des Mondkönigs</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8"/>
                    </w:rPr>
                    <w:t>Gesandter aus Venedig</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8"/>
                    </w:rPr>
                    <w:t>Gesandtenmantel</w:t>
                  </w:r>
                </w:p>
              </w:tc>
            </w:tr>
          </w:tbl>
          <w:p>
            <w:pPr>
              <w:pStyle w:val="DDAbstand"/>
            </w:pPr>
          </w:p>
          <w:p>
            <w:pPr>
              <w:pStyle w:val="DDTabellentext"/>
              <w:spacing w:after="60"/>
            </w:pPr>
            <w:r>
              <w:t>Die Rolle Marquis kommt nicht vor, weil für sie nie ein Kostüm ausgeliehen wurde.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Verbund Rolle – Ausleihe vergessen: jede Ausleihe mit allen Rollen kombiniert.</w:t>
            </w:r>
          </w:p>
          <w:p>
            <w:pPr>
              <w:pStyle w:val="DDTabellentext"/>
            </w:pPr>
            <w:r>
              <w:rPr>
                <w:rFonts w:ascii="IBM Plex Mono" w:hAnsi="IBM Plex Mono" w:eastAsia="IBM Plex Mono" w:cs="IBM Plex Mono"/>
                <w:b/>
                <w:color w:val="B3261E"/>
                <w:sz w:val="15"/>
                <w:shd w:val="clear" w:color="auto" w:fill="F8E3DF"/>
              </w:rPr>
              <w:t>◆ P7</w:t>
            </w:r>
            <w:r>
              <w:t xml:space="preserve">  StueckNr bzw. RollenNr ohne Tabellenpräfix (mehrdeutig).</w:t>
            </w:r>
          </w:p>
          <w:p>
            <w:pPr>
              <w:pStyle w:val="DDTabellentext"/>
            </w:pPr>
            <w:r>
              <w:rPr>
                <w:rFonts w:ascii="IBM Plex Mono" w:hAnsi="IBM Plex Mono" w:eastAsia="IBM Plex Mono" w:cs="IBM Plex Mono"/>
                <w:b/>
                <w:color w:val="B3261E"/>
                <w:sz w:val="15"/>
                <w:shd w:val="clear" w:color="auto" w:fill="F8E3DF"/>
              </w:rPr>
              <w:t>◆ P2</w:t>
            </w:r>
            <w:r>
              <w:t xml:space="preserve">  Stück direkt mit Ausleihe verbunden (Ausleihe hat keine StueckNr).</w:t>
            </w:r>
          </w:p>
        </w:tc>
      </w:tr>
    </w:tbl>
    <w:p>
      <w:pPr>
        <w:spacing w:after="0" w:line="160" w:lineRule="exact"/>
      </w:pPr>
    </w:p>
    <w:p>
      <w:pPr>
        <w:keepNext/>
        <w:tabs>
          <w:tab w:pos="454" w:val="left"/>
        </w:tabs>
        <w:spacing w:before="160"/>
        <w:ind w:left="454" w:hanging="454"/>
      </w:pPr>
      <w:r>
        <w:rPr>
          <w:b/>
        </w:rPr>
        <w:t>f)</w:t>
        <w:tab/>
      </w:r>
      <w:r>
        <w:rPr>
          <w:b/>
        </w:rPr>
        <w:t>Entwerfen</w:t>
      </w:r>
      <w:r>
        <w:t xml:space="preserve"> Sie eine SQL-Abfrage, die die drei Mitglieder (Nummer, Vor- und Nachname) mit den meisten Ausleihen und die Anzahl ihrer Ausleihen ausgibt. Berücksichtigt werden sollen nur Mitglieder mit mehr als drei Ausleihen.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Mitglied.MitgliedNr, Mitglied.Vorname, Mitglied.Nachname, COUNT(*) AS Ausleihen</w:t>
              <w:br/>
              <w:t>FROM Mitglied, Ausleihe</w:t>
              <w:br/>
              <w:t>WHERE Mitglied.MitgliedNr = Ausleihe.MitgliedNr</w:t>
              <w:br/>
              <w:t>GROUP BY Mitglied.MitgliedNr, Mitglied.Vorname, Mitglied.Nachname</w:t>
              <w:br/>
              <w:t>HAVING COUNT(*) &gt; 3</w:t>
              <w:br/>
              <w:t>ORDER BY COUNT(*) DESC</w:t>
              <w:br/>
              <w:t>LIMIT 3</w:t>
            </w:r>
          </w:p>
          <w:tbl>
            <w:tblPr>
              <w:tblStyle w:val="Ergebnistabelle"/>
              <w:jc w:val="left"/>
              <w:tblLayout w:type="fixed"/>
              <w:tblLook w:firstColumn="1" w:firstRow="1" w:lastColumn="0" w:lastRow="0" w:noHBand="0" w:noVBand="1" w:val="04A0"/>
              <w:tblW w:w="5443" w:type="dxa"/>
            </w:tblPr>
            <w:tblGrid>
              <w:gridCol w:w="1474"/>
              <w:gridCol w:w="1134"/>
              <w:gridCol w:w="1474"/>
              <w:gridCol w:w="1360"/>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MitgliedNr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Ausleihen</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Tebbe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Jana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Hinners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bl>
          <w:p>
            <w:pPr>
              <w:pStyle w:val="DDAbstand"/>
            </w:pPr>
          </w:p>
          <w:p>
            <w:pPr>
              <w:pStyle w:val="DDTabellentext"/>
              <w:spacing w:after="60"/>
            </w:pPr>
            <w:r>
              <w:t>Achtung: Zwei Mitglieder heißen Lasse Kück (11a und 7b, je 3 Ausleihen). Wer nur nach Vor- und Nachname gruppiert, erhält „Lasse Kück“ mit 6 Ausleihen auf Platz 1.</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COUNT(*) &gt; 3 in WHERE.</w:t>
            </w:r>
          </w:p>
          <w:p>
            <w:pPr>
              <w:pStyle w:val="DDTabellentext"/>
            </w:pPr>
            <w:r>
              <w:rPr>
                <w:rFonts w:ascii="IBM Plex Mono" w:hAnsi="IBM Plex Mono" w:eastAsia="IBM Plex Mono" w:cs="IBM Plex Mono"/>
                <w:b/>
                <w:color w:val="B3261E"/>
                <w:sz w:val="15"/>
                <w:shd w:val="clear" w:color="auto" w:fill="F8E3DF"/>
              </w:rPr>
              <w:t>◆ P3</w:t>
            </w:r>
            <w:r>
              <w:t xml:space="preserve">  nur nach Namen gruppiert (Lasse Kück verschmilzt).</w:t>
            </w:r>
          </w:p>
          <w:p>
            <w:pPr>
              <w:pStyle w:val="DDTabellentext"/>
            </w:pPr>
            <w:r>
              <w:rPr>
                <w:rFonts w:ascii="IBM Plex Mono" w:hAnsi="IBM Plex Mono" w:eastAsia="IBM Plex Mono" w:cs="IBM Plex Mono"/>
                <w:b/>
                <w:color w:val="B3261E"/>
                <w:sz w:val="15"/>
                <w:shd w:val="clear" w:color="auto" w:fill="F8E3DF"/>
              </w:rPr>
              <w:t>◆ P4</w:t>
            </w:r>
            <w:r>
              <w:t xml:space="preserve">  SUM statt COUNT.</w:t>
            </w:r>
          </w:p>
        </w:tc>
      </w:tr>
    </w:tbl>
    <w:p>
      <w:pPr>
        <w:spacing w:after="0" w:line="160" w:lineRule="exact"/>
      </w:pP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m.Vorname, m.Nachname, m.Klasse, p.Vorname AS PateVorname, p.Nachname AS PateNachname</w:t>
        <w:br/>
        <w:t>FROM Mitglied m, Mitglied p</w:t>
        <w:br/>
        <w:t>WHERE m.PateNr = p.MitgliedNr</w:t>
        <w:br/>
        <w:t xml:space="preserve">  AND p.Klasse LIKE '12%'</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verbindet Mitglied mit sich selbst: m steht für das betreute Mitglied, p für seine Patin bzw. seinen Paten. Ausgegeben werden Name und Klasse aller Mitglieder, deren Patin bzw. Pate eine </w:t>
            </w:r>
            <w:r>
              <w:rPr>
                <w:b/>
              </w:rPr>
              <w:t>12. Klasse</w:t>
            </w:r>
            <w:r>
              <w:t xml:space="preserve"> besucht (LIKE '12%' – 12a, 12b, 12c), zusammen mit dem Namen der Patin bzw. des Paten. Mitglieder ohne Pate oder mit einem Paten aus Jahrgang 11 erscheinen nicht.</w:t>
            </w:r>
          </w:p>
          <w:tbl>
            <w:tblPr>
              <w:tblStyle w:val="Ergebnistabelle"/>
              <w:jc w:val="left"/>
              <w:tblLayout w:type="fixed"/>
              <w:tblLook w:firstColumn="1" w:firstRow="1" w:lastColumn="0" w:lastRow="0" w:noHBand="0" w:noVBand="1" w:val="04A0"/>
              <w:tblW w:w="6690" w:type="dxa"/>
            </w:tblPr>
            <w:tblGrid>
              <w:gridCol w:w="1134"/>
              <w:gridCol w:w="1247"/>
              <w:gridCol w:w="1020"/>
              <w:gridCol w:w="1587"/>
              <w:gridCol w:w="1701"/>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Klasse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PateVorname</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PateNachname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Finn</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Bohlken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Leni</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Ihnken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Rieke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Dählmann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Mira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Onken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8a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Jana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Hinners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Fenja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Lampe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7a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Selin</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Nowak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8c</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Lasse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Kück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7b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Arne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Steenken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9b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Greta</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Schwarting</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Nele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Backhaus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8"/>
                    </w:rPr>
                    <w:t>10b</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Haake</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„alle Mitglieder aus Jahrgang 12“ – die Bedingung betrifft p, nicht m.</w:t>
            </w:r>
          </w:p>
          <w:p>
            <w:pPr>
              <w:pStyle w:val="DDTabellentext"/>
            </w:pPr>
            <w:r>
              <w:rPr>
                <w:rFonts w:ascii="IBM Plex Mono" w:hAnsi="IBM Plex Mono" w:eastAsia="IBM Plex Mono" w:cs="IBM Plex Mono"/>
                <w:b/>
                <w:color w:val="B3261E"/>
                <w:sz w:val="15"/>
                <w:shd w:val="clear" w:color="auto" w:fill="F8E3DF"/>
              </w:rPr>
              <w:t>◆ P10</w:t>
            </w:r>
            <w:r>
              <w:t xml:space="preserve">  Klauseln nur übersetzt.</w:t>
            </w:r>
          </w:p>
        </w:tc>
      </w:tr>
    </w:tbl>
    <w:p>
      <w:pPr>
        <w:spacing w:after="0" w:line="160" w:lineRule="exact"/>
      </w:pPr>
    </w:p>
    <w:p>
      <w:pPr>
        <w:keepNext/>
        <w:tabs>
          <w:tab w:pos="454" w:val="left"/>
        </w:tabs>
        <w:spacing w:before="160"/>
        <w:ind w:left="454" w:hanging="454"/>
      </w:pPr>
      <w:r>
        <w:rPr>
          <w:b/>
        </w:rPr>
        <w:t>h)</w:t>
        <w:tab/>
      </w:r>
      <w:r>
        <w:t xml:space="preserve">Die Kostümwartin möchte wissen, welche Kostüme noch nie ausgeliehen wurden. </w:t>
      </w:r>
      <w:r>
        <w:rPr>
          <w:b/>
        </w:rPr>
        <w:t>Beschreiben</w:t>
      </w:r>
      <w:r>
        <w:t xml:space="preserve"> Sie ein Vorgehen, mit dem sich das ermitteln lässt, ohne eine Unterabfrage zu verwenden.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Ein Verbund von Kostuem und Ausleihe enthält nur Kostüme, die mindestens einmal ausgeliehen wurden. Deshalb in zwei Schritten:</w:t>
            </w:r>
          </w:p>
          <w:p>
            <w:pPr>
              <w:pStyle w:val="SQL-Code"/>
            </w:pPr>
            <w:r>
              <w:t>SELECT KostuemNr, Bezeichnung</w:t>
              <w:br/>
              <w:t>FROM Kostuem</w:t>
              <w:br/>
              <w:t>ORDER BY KostuemNr</w:t>
            </w:r>
          </w:p>
          <w:p>
            <w:pPr>
              <w:pStyle w:val="SQL-Code"/>
            </w:pPr>
            <w:r>
              <w:t>SELECT DISTINCT KostuemNr</w:t>
              <w:br/>
              <w:t>FROM Ausleihe</w:t>
              <w:br/>
              <w:t>ORDER BY KostuemNr</w:t>
            </w:r>
          </w:p>
          <w:p>
            <w:pPr>
              <w:pStyle w:val="DDTabellentext"/>
              <w:spacing w:after="60"/>
            </w:pPr>
            <w:r>
              <w:t>Kostüme der ersten Liste, die in der zweiten fehlen, wurden nie ausgeliehen (hier 5, 18, 37, 38, 40).</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WHERE Kostuem.KostuemNr != Ausleihe.KostuemNr – liefert fast alle Kombinationen.</w:t>
            </w:r>
          </w:p>
        </w:tc>
      </w:tr>
    </w:tbl>
    <w:p>
      <w:pPr>
        <w:spacing w:after="0" w:line="160" w:lineRule="exact"/>
      </w:pPr>
    </w:p>
    <w:p>
      <w:pPr>
        <w:pStyle w:val="Heading1"/>
        <w:pageBreakBefore/>
      </w:pPr>
      <w:r>
        <w:t>Aufgabe B · Kostümliste und Schulhomepage (15 BE)</w:t>
      </w:r>
    </w:p>
    <w:p>
      <w:r>
        <w:t>Die Theater-AG (Aufgabe A) hat ihre Kostüme früher in einer Liste geführt und plant einen Auftritt auf der Schulhomepage.</w:t>
      </w:r>
    </w:p>
    <w:p>
      <w:r>
        <w:rPr>
          <w:i/>
        </w:rPr>
        <w:t>Material 4 · Alte Kostümliste – siehe Aufgabenblatt.</w:t>
      </w:r>
    </w:p>
    <w:p>
      <w:r>
        <w:rPr>
          <w:i/>
        </w:rPr>
        <w:t>Material 5 · Veröffentlichung auf der Schulhomepage – siehe Aufgabenblatt.</w:t>
      </w:r>
    </w:p>
    <w:p>
      <w:pPr>
        <w:keepNext/>
        <w:tabs>
          <w:tab w:pos="454" w:val="left"/>
        </w:tabs>
        <w:spacing w:before="160"/>
        <w:ind w:left="454" w:hanging="454"/>
      </w:pPr>
      <w:r>
        <w:rPr>
          <w:b/>
        </w:rPr>
        <w:t>a)</w:t>
        <w:tab/>
      </w:r>
      <w:r>
        <w:rPr>
          <w:b/>
        </w:rPr>
        <w:t>Untersuchen</w:t>
      </w:r>
      <w:r>
        <w:t xml:space="preserve"> Sie die Kostümliste (Material 4) auf Redundanzen und nicht-atomare Werte; erläutern Sie die Folgen für die Auswertung „Welche Kostüme werden im Stück „Der Hof des Mondkönigs“ eingesetzt?“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Redundant</w:t>
            </w:r>
            <w:r>
              <w:t xml:space="preserve">: Kerstin Haake mit 0000-4410 steht in vier Zeilen, Heiko Wendelken in drei. </w:t>
            </w:r>
            <w:r>
              <w:rPr>
                <w:b/>
              </w:rPr>
              <w:t>Nicht atomar</w:t>
            </w:r>
            <w:r>
              <w:t xml:space="preserve"> sind Rollen, Stuecke, Verantwortliche und Telefon (z. B. „Kammerdiener, Gesandter aus Venedig“); welche Rolle zu welchem Stück gehört, ergibt sich nur aus der Reihenfolge.</w:t>
            </w:r>
          </w:p>
          <w:p>
            <w:pPr>
              <w:pStyle w:val="DDTabellentext"/>
              <w:spacing w:after="60"/>
            </w:pPr>
            <w:r>
              <w:t>Eine Abfrage mit Stuecke = 'Der Hof des Mondkönigs' findet nur Königsmantel und Ritterrüstung, nicht aber das Justaucorps rot, bei dem das Stück in einer Liste steht. Mit LIKE wird es gefunden, doch jede abweichende Schreibweise ginge verloren – die Auswertung ist unzuverlässig.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keine konkreten Zeilen; Folgen für die Auswertung fehlen.</w:t>
            </w:r>
          </w:p>
        </w:tc>
      </w:tr>
    </w:tbl>
    <w:p>
      <w:pPr>
        <w:spacing w:after="0" w:line="160" w:lineRule="exact"/>
      </w:pPr>
    </w:p>
    <w:p>
      <w:pPr>
        <w:keepNext/>
        <w:tabs>
          <w:tab w:pos="454" w:val="left"/>
        </w:tabs>
        <w:spacing w:before="160"/>
        <w:ind w:left="454" w:hanging="454"/>
      </w:pPr>
      <w:r>
        <w:rPr>
          <w:b/>
        </w:rPr>
        <w:t>b)</w:t>
        <w:tab/>
      </w:r>
      <w:r>
        <w:rPr>
          <w:b/>
        </w:rPr>
        <w:t>Erläutern</w:t>
      </w:r>
      <w:r>
        <w:t xml:space="preserve"> Sie je eine Einfüge- und eine Löschanomalie an einem konkreten Datensatz der Kostümliste.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Einfügeanomalie:</w:t>
            </w:r>
            <w:r>
              <w:t xml:space="preserve"> Ein neues Stück lässt sich erst eintragen, wenn ihm ein Kostüm zugeordnet ist – jede Zeile beschreibt ein Kostüm.</w:t>
            </w:r>
          </w:p>
          <w:p>
            <w:pPr>
              <w:pStyle w:val="DDTabellentext"/>
              <w:spacing w:after="60"/>
            </w:pPr>
            <w:r>
              <w:rPr>
                <w:b/>
              </w:rPr>
              <w:t>Löschanomalie:</w:t>
            </w:r>
            <w:r>
              <w:t xml:space="preserve"> Wird die Toga aus dem Fundus entfernt und ihre Zeile gelöscht, verschwindet die Rolle „Chor“ aus der Liste, die nur dort vorkommt.</w:t>
            </w:r>
          </w:p>
          <w:p>
            <w:pPr>
              <w:pStyle w:val="DDTabellentext"/>
              <w:spacing w:after="60"/>
            </w:pPr>
            <w:r>
              <w:t>Kernpunkte und Teilpunkte: siehe Bewertungsbogen.</w:t>
            </w:r>
          </w:p>
          <w:p>
            <w:pPr>
              <w:pStyle w:val="DDTabellentext"/>
            </w:pPr>
            <w:r>
              <w:rPr>
                <w:b/>
              </w:rPr>
              <w:t>Auch richtig:</w:t>
            </w:r>
          </w:p>
          <w:p>
            <w:pPr>
              <w:pStyle w:val="DDTabellentext"/>
              <w:spacing w:after="60"/>
            </w:pPr>
            <w:r>
              <w:t>Änderungsanomalie (Heiko Wendelken mit 0000-5521 und 0000-5512) statt einer der beiden nur mit Teilpunkt.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Definition ohne Datensatz.</w:t>
            </w:r>
          </w:p>
        </w:tc>
      </w:tr>
    </w:tbl>
    <w:p>
      <w:pPr>
        <w:spacing w:after="0" w:line="160" w:lineRule="exact"/>
      </w:pPr>
    </w:p>
    <w:p>
      <w:pPr>
        <w:keepNext/>
        <w:tabs>
          <w:tab w:pos="454" w:val="left"/>
        </w:tabs>
        <w:spacing w:before="160"/>
        <w:ind w:left="454" w:hanging="454"/>
      </w:pPr>
      <w:r>
        <w:rPr>
          <w:b/>
        </w:rPr>
        <w:t>c)</w:t>
        <w:tab/>
      </w:r>
      <w:r>
        <w:rPr>
          <w:b/>
        </w:rPr>
        <w:t>Beurteilen</w:t>
      </w:r>
      <w:r>
        <w:t xml:space="preserve"> Sie das Vorhaben der Theater-AG (Material 5) unter Bezug auf zwei Grundsätze der DSGVO. Grenzen Sie dabei Datenschutz und Datensicherheit voneinander ab.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Fotos und Mitgliederliste sind personenbezogene Daten. Für eine Veröffentlichung braucht es die </w:t>
            </w:r>
            <w:r>
              <w:rPr>
                <w:b/>
              </w:rPr>
              <w:t>Einwilligung</w:t>
            </w:r>
            <w:r>
              <w:t xml:space="preserve"> der Abgebildeten (bei Minderjährigen der Eltern), für das Publikum liegt sie nicht vor. </w:t>
            </w:r>
            <w:r>
              <w:rPr>
                <w:b/>
              </w:rPr>
              <w:t>Zweckbindung:</w:t>
            </w:r>
            <w:r>
              <w:t xml:space="preserve"> Die Daten wurden für die AG-Organisation erhoben. </w:t>
            </w:r>
            <w:r>
              <w:rPr>
                <w:b/>
              </w:rPr>
              <w:t>Datenminimierung:</w:t>
            </w:r>
            <w:r>
              <w:t xml:space="preserve"> Klasse und Nachname sind für die Homepage nicht nötig.</w:t>
            </w:r>
          </w:p>
          <w:p>
            <w:pPr>
              <w:pStyle w:val="DDTabellentext"/>
              <w:spacing w:after="60"/>
            </w:pPr>
            <w:r>
              <w:rPr>
                <w:b/>
              </w:rPr>
              <w:t>Datenschutz</w:t>
            </w:r>
            <w:r>
              <w:t xml:space="preserve"> regelt, ob personenbezogene Daten veröffentlicht werden dürfen; </w:t>
            </w:r>
            <w:r>
              <w:rPr>
                <w:b/>
              </w:rPr>
              <w:t>Datensicherheit</w:t>
            </w:r>
            <w:r>
              <w:t xml:space="preserve"> schützt Daten technisch vor Verlust und unbefugtem Zugriff (z. B. Passwortbereich, Verschlüsselung). Urteil: in dieser Form nicht zulässig; möglich mit Einwilligung, ohne Publikum und ohne Klassen.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Datenschutz und Datensicherheit gleichgesetzt; kein Urteil.</w:t>
            </w:r>
          </w:p>
        </w:tc>
      </w:tr>
    </w:tbl>
    <w:p>
      <w:pPr>
        <w:spacing w:after="0" w:line="160" w:lineRule="exact"/>
      </w:pPr>
    </w:p>
    <w:p>
      <w:pPr>
        <w:keepNext/>
        <w:tabs>
          <w:tab w:pos="454" w:val="left"/>
        </w:tabs>
        <w:spacing w:before="160"/>
        <w:ind w:left="454" w:hanging="454"/>
      </w:pPr>
      <w:r>
        <w:rPr>
          <w:b/>
        </w:rPr>
        <w:t>d)</w:t>
        <w:tab/>
      </w:r>
      <w:r>
        <w:t xml:space="preserve">Die AG-Leitung überlegt, aus den Ausleihdaten automatisch einen „Zuverlässigkeitswert“ je Mitglied zu berechnen (z. B. verspätete oder fehlende Rückgaben) und ihn bei der Rollenvergabe zu berücksichtigen. </w:t>
      </w:r>
      <w:r>
        <w:rPr>
          <w:b/>
        </w:rPr>
        <w:t>Erörtern</w:t>
      </w:r>
      <w:r>
        <w:t xml:space="preserve"> Sie Chancen und Risiken dieser automatisierten Auswertung.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Chancen:</w:t>
            </w:r>
            <w:r>
              <w:t xml:space="preserve"> Kostüme gehen seltener verloren, Rückgaben lassen sich besser planen. </w:t>
            </w:r>
            <w:r>
              <w:rPr>
                <w:b/>
              </w:rPr>
              <w:t>Risiken:</w:t>
            </w:r>
            <w:r>
              <w:t xml:space="preserve"> Es entsteht ein Profil über einzelne Mitglieder; der Wert bildet Ursachen (Krankheit, Absprachen) nicht ab und kann bei der Rollenvergabe zu ungerechter Benachteiligung führen – eine automatisierte Entscheidung über Personen. </w:t>
            </w:r>
            <w:r>
              <w:rPr>
                <w:b/>
              </w:rPr>
              <w:t>Fazit:</w:t>
            </w:r>
            <w:r>
              <w:t xml:space="preserve"> Erinnerungen an offene Ausleihen erreichen das Ziel ohne Bewertung von Personen; ein Zuverlässigkeitswert sollte nicht in die Rollenvergabe eingehen.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einseitig, ohne Fazit.</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NK-gA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Nachschreibklausur Datenbanken (gA)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pruefung/kostuemverleih</vt:lpwstr>
  </property>
  <property fmtid="{D5CDD505-2E9C-101B-9397-08002B2CF9AE}" pid="5" name="DD-Fassung">
    <vt:lpwstr>loesung</vt:lpwstr>
  </property>
  <property fmtid="{D5CDD505-2E9C-101B-9397-08002B2CF9AE}" pid="6" name="DD-Kompetenzen">
    <vt:lpwstr>{"NK-A-a": ["DB-K03", "DB-K04", "DB-K05"], "NK-A-b": ["DB-K02"], "NK-A-c": ["DB-K07", "DB-K08", "DB-K09", "DB-K10"], "NK-A-d": ["DB-K18", "DB-K23"], "NK-A-e": ["DB-K16", "DB-K24"], "NK-A-f": ["DB-K22", "DB-K26", "DB-K27"], "NK-A-g": ["DB-K19", "DB-K24", "DB-K28"], "NK-A-h": ["DB-K30"]}</vt:lpwstr>
  </property>
  <property fmtid="{D5CDD505-2E9C-101B-9397-08002B2CF9AE}" pid="7" name="DD-Kuer">
    <vt:lpwstr>nein</vt:lpwstr>
  </property>
  <property fmtid="{D5CDD505-2E9C-101B-9397-08002B2CF9AE}" pid="8" name="DD-Material">
    <vt:lpwstr>NK-gA</vt:lpwstr>
  </property>
</Properties>
</file>