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57"/>
        <w:gridCol w:w="2381"/>
      </w:tblGrid>
      <w:tr>
        <w:tc>
          <w:tcPr>
            <w:tcW w:type="dxa" w:w="7257"/>
            <w:shd w:val="clear" w:color="auto" w:fill="F4EDE1"/>
            <w:tcBorders>
              <w:bottom w:val="single" w:sz="18" w:space="0" w:color="B3261E"/>
            </w:tcBorders>
            <w:tcMar>
              <w:top w:w="113" w:type="dxa"/>
              <w:left w:w="198" w:type="dxa"/>
              <w:bottom w:w="113" w:type="dxa"/>
              <w:right w:w="142" w:type="dxa"/>
            </w:tcMar>
          </w:tcPr>
          <w:p>
            <w:pPr>
              <w:pStyle w:val="DDTabellentext"/>
            </w:pPr>
            <w:r>
              <w:rPr>
                <w:rFonts w:ascii="IBM Plex Mono" w:hAnsi="IBM Plex Mono" w:eastAsia="IBM Plex Mono" w:cs="IBM Plex Mono"/>
                <w:b/>
                <w:color w:val="46525E"/>
                <w:sz w:val="16"/>
                <w:spacing w:val="16"/>
              </w:rPr>
              <w:t>AKTE 5 · ERMITTLUNG 5.2 · DS 10</w:t>
            </w:r>
          </w:p>
          <w:p>
            <w:pPr>
              <w:pStyle w:val="DDTabellentext"/>
              <w:spacing w:before="60" w:after="40"/>
            </w:pPr>
            <w:r>
              <w:rPr>
                <w:rFonts w:ascii="Barlow Condensed SemiBold" w:hAnsi="Barlow Condensed SemiBold" w:eastAsia="Barlow Condensed SemiBold" w:cs="Barlow Condensed SemiBold"/>
                <w:color w:val="1C2B3A"/>
                <w:sz w:val="42"/>
              </w:rPr>
              <w:t>Der Architekturwettbewerb</w:t>
            </w:r>
          </w:p>
          <w:p>
            <w:pPr>
              <w:pStyle w:val="DDTabellentext"/>
            </w:pPr>
            <w:r>
              <w:rPr>
                <w:color w:val="46525E"/>
                <w:sz w:val="21"/>
              </w:rPr>
              <w:t>ER-Modell entwickeln und erweitern: rekursiv, mehrere Beziehungstypen, ternär, Grenzen der Notation · nur eA</w:t>
            </w:r>
          </w:p>
          <w:p>
            <w:pPr>
              <w:pStyle w:val="DDTabellentext"/>
              <w:spacing w:before="100"/>
            </w:pPr>
            <w:r>
              <w:rPr>
                <w:rFonts w:ascii="IBM Plex Mono" w:hAnsi="IBM Plex Mono" w:eastAsia="IBM Plex Mono" w:cs="IBM Plex Mono"/>
                <w:color w:val="58626D"/>
                <w:sz w:val="15"/>
                <w:spacing w:val="16"/>
              </w:rPr>
              <w:t xml:space="preserve">NAME </w:t>
            </w:r>
            <w:r>
              <w:rPr>
                <w:color w:val="8F8270"/>
              </w:rPr>
              <w:t>______________________________</w:t>
            </w:r>
            <w:r>
              <w:rPr>
                <w:rFonts w:ascii="IBM Plex Mono" w:hAnsi="IBM Plex Mono" w:eastAsia="IBM Plex Mono" w:cs="IBM Plex Mono"/>
                <w:color w:val="58626D"/>
                <w:sz w:val="15"/>
                <w:spacing w:val="16"/>
              </w:rPr>
              <w:t xml:space="preserve">   DATUM </w:t>
            </w:r>
            <w:r>
              <w:rPr>
                <w:color w:val="8F8270"/>
              </w:rPr>
              <w:t>_____________</w:t>
            </w:r>
          </w:p>
        </w:tc>
        <w:tc>
          <w:tcPr>
            <w:tcW w:type="dxa" w:w="2381"/>
            <w:shd w:val="clear" w:color="auto" w:fill="F4EDE1"/>
            <w:tcBorders>
              <w:bottom w:val="single" w:sz="18" w:space="0" w:color="B3261E"/>
            </w:tcBorders>
            <w:tcMar>
              <w:top w:w="113" w:type="dxa"/>
              <w:left w:w="198" w:type="dxa"/>
              <w:bottom w:w="113" w:type="dxa"/>
              <w:right w:w="142" w:type="dxa"/>
            </w:tcMar>
            <w:vAlign w:val="center"/>
          </w:tcPr>
          <w:p>
            <w:pPr>
              <w:jc w:val="center"/>
            </w:pPr>
            <w:r>
              <w:drawing>
                <wp:inline xmlns:a="http://schemas.openxmlformats.org/drawingml/2006/main" xmlns:pic="http://schemas.openxmlformats.org/drawingml/2006/picture">
                  <wp:extent cx="1188000" cy="422241"/>
                  <wp:docPr id="1" name="Picture 1"/>
                  <wp:cNvGraphicFramePr>
                    <a:graphicFrameLocks noChangeAspect="1"/>
                  </wp:cNvGraphicFramePr>
                  <a:graphic>
                    <a:graphicData uri="http://schemas.openxmlformats.org/drawingml/2006/picture">
                      <pic:pic>
                        <pic:nvPicPr>
                          <pic:cNvPr id="0" name="stempel.png"/>
                          <pic:cNvPicPr/>
                        </pic:nvPicPr>
                        <pic:blipFill>
                          <a:blip r:embed="rId11"/>
                          <a:stretch>
                            <a:fillRect/>
                          </a:stretch>
                        </pic:blipFill>
                        <pic:spPr>
                          <a:xfrm>
                            <a:off x="0" y="0"/>
                            <a:ext cx="1188000" cy="422241"/>
                          </a:xfrm>
                          <a:prstGeom prst="rect"/>
                        </pic:spPr>
                      </pic:pic>
                    </a:graphicData>
                  </a:graphic>
                </wp:inline>
              </w:drawing>
            </w:r>
          </w:p>
        </w:tc>
      </w:tr>
    </w:tbl>
    <w:p>
      <w:pPr>
        <w:spacing w:after="0" w:line="160" w:lineRule="exact"/>
      </w:pPr>
    </w:p>
    <w:p>
      <w:pPr>
        <w:pStyle w:val="DDFall-Einstieg"/>
      </w:pPr>
      <w:r>
        <w:rPr>
          <w:rFonts w:ascii="IBM Plex Mono" w:hAnsi="IBM Plex Mono" w:eastAsia="IBM Plex Mono" w:cs="IBM Plex Mono"/>
          <w:b/>
          <w:color w:val="B3261E"/>
          <w:sz w:val="15"/>
          <w:spacing w:val="16"/>
        </w:rPr>
        <w:t xml:space="preserve">FALL-EINSTIEG  </w:t>
      </w:r>
      <w:r>
        <w:t>Edda Lorenz schreibt einen Wettbewerb aus: Das Team mit dem besten Bauplan für die Fall-Datenbank bekommt den Stempel ARCHITEKTUR – und sein Entwurf wird gebaut.</w:t>
      </w: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1</w:t>
            </w:r>
            <w:r>
              <w:rPr>
                <w:rFonts w:ascii="Barlow Condensed SemiBold" w:hAnsi="Barlow Condensed SemiBold" w:eastAsia="Barlow Condensed SemiBold" w:cs="Barlow Condensed SemiBold"/>
                <w:color w:val="1C2B3A"/>
                <w:sz w:val="24"/>
              </w:rPr>
              <w:t xml:space="preserve">  Vom Text zum Modell</w:t>
            </w:r>
          </w:p>
          <w:p>
            <w:pPr>
              <w:pStyle w:val="DDTabellentext"/>
              <w:tabs>
                <w:tab w:pos="312" w:val="left"/>
              </w:tabs>
              <w:spacing w:after="40"/>
              <w:ind w:left="312" w:hanging="255"/>
            </w:pPr>
            <w:r>
              <w:rPr>
                <w:b/>
                <w:color w:val="46525E"/>
              </w:rPr>
              <w:t>1.</w:t>
              <w:tab/>
            </w:r>
            <w:r>
              <w:rPr>
                <w:b/>
              </w:rPr>
              <w:t>Substantive</w:t>
            </w:r>
            <w:r>
              <w:t xml:space="preserve"> → Entitätstypen (Singular) mit ihren Attributen; je Entitätstyp ein </w:t>
            </w:r>
            <w:r>
              <w:rPr>
                <w:b/>
              </w:rPr>
              <w:t>Schlüsselattribut</w:t>
            </w:r>
            <w:r>
              <w:t xml:space="preserve"> festlegen und unterstreichen.</w:t>
            </w:r>
          </w:p>
          <w:p>
            <w:pPr>
              <w:pStyle w:val="DDTabellentext"/>
              <w:tabs>
                <w:tab w:pos="312" w:val="left"/>
              </w:tabs>
              <w:spacing w:after="40"/>
              <w:ind w:left="312" w:hanging="255"/>
            </w:pPr>
            <w:r>
              <w:rPr>
                <w:b/>
                <w:color w:val="46525E"/>
              </w:rPr>
              <w:t>2.</w:t>
              <w:tab/>
            </w:r>
            <w:r>
              <w:rPr>
                <w:b/>
              </w:rPr>
              <w:t>Verben</w:t>
            </w:r>
            <w:r>
              <w:t xml:space="preserve"> → Beziehungstypen in lowerCamelCase, z. B. </w:t>
            </w:r>
            <w:r>
              <w:rPr>
                <w:i/>
              </w:rPr>
              <w:t>versorgt</w:t>
            </w:r>
            <w:r>
              <w:t xml:space="preserve"> oder </w:t>
            </w:r>
            <w:r>
              <w:rPr>
                <w:i/>
              </w:rPr>
              <w:t>istPateVon</w:t>
            </w:r>
            <w:r>
              <w:t>.</w:t>
            </w:r>
          </w:p>
          <w:p>
            <w:pPr>
              <w:pStyle w:val="DDTabellentext"/>
              <w:tabs>
                <w:tab w:pos="312" w:val="left"/>
              </w:tabs>
              <w:spacing w:after="40"/>
              <w:ind w:left="312" w:hanging="255"/>
            </w:pPr>
            <w:r>
              <w:rPr>
                <w:b/>
                <w:color w:val="46525E"/>
              </w:rPr>
              <w:t>3.</w:t>
              <w:tab/>
            </w:r>
            <w:r>
              <w:rPr>
                <w:b/>
              </w:rPr>
              <w:t>Mengenangaben</w:t>
            </w:r>
            <w:r>
              <w:t xml:space="preserve"> („genau ein“, „höchstens ein“, „mehrere“) → Kardinalitäten, in </w:t>
            </w:r>
            <w:r>
              <w:rPr>
                <w:b/>
              </w:rPr>
              <w:t>beiden</w:t>
            </w:r>
            <w:r>
              <w:t xml:space="preserve"> Richtungen lesen.</w:t>
            </w:r>
          </w:p>
          <w:p>
            <w:pPr>
              <w:pStyle w:val="DDTabellentext"/>
              <w:tabs>
                <w:tab w:pos="312" w:val="left"/>
              </w:tabs>
              <w:spacing w:after="40"/>
              <w:ind w:left="312" w:hanging="255"/>
            </w:pPr>
            <w:r>
              <w:rPr>
                <w:b/>
                <w:color w:val="46525E"/>
              </w:rPr>
              <w:t>4.</w:t>
              <w:tab/>
            </w:r>
            <w:r>
              <w:t xml:space="preserve">Angaben, die vom </w:t>
            </w:r>
            <w:r>
              <w:rPr>
                <w:b/>
              </w:rPr>
              <w:t>Paar</w:t>
            </w:r>
            <w:r>
              <w:t xml:space="preserve"> (oder Trio) abhängen → Attribute an der Raute.</w:t>
            </w:r>
          </w:p>
          <w:p>
            <w:pPr>
              <w:pStyle w:val="DDTabellentext"/>
              <w:tabs>
                <w:tab w:pos="312" w:val="left"/>
              </w:tabs>
              <w:spacing w:after="40"/>
              <w:ind w:left="312" w:hanging="255"/>
            </w:pPr>
            <w:r>
              <w:rPr>
                <w:b/>
                <w:color w:val="46525E"/>
              </w:rPr>
              <w:t>5.</w:t>
              <w:tab/>
            </w:r>
            <w:r>
              <w:t>Kontrolle: Jede Information des Textes ist im Modell abgehakt.</w:t>
            </w:r>
          </w:p>
          <w:tbl>
            <w:tblPr>
              <w:tblStyle w:val="Datentabelle"/>
              <w:jc w:val="left"/>
              <w:tblLayout w:type="fixed"/>
              <w:tblLook w:firstColumn="1" w:firstRow="1" w:lastColumn="0" w:lastRow="0" w:noHBand="0" w:noVBand="1" w:val="04A0"/>
              <w:tblW w:w="9412" w:type="dxa"/>
            </w:tblPr>
            <w:tblGrid>
              <w:gridCol w:w="4762"/>
              <w:gridCol w:w="4649"/>
            </w:tblGrid>
            <w:tr>
              <w:trPr>
                <w:tblHeader/>
              </w:trPr>
              <w:tc>
                <w:tcPr>
                  <w:tcW w:type="dxa" w:w="4762"/>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Textstelle (Tierheim)</w:t>
                  </w:r>
                </w:p>
              </w:tc>
              <w:tc>
                <w:tcPr>
                  <w:tcW w:type="dxa" w:w="464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im Modell</w:t>
                  </w:r>
                </w:p>
              </w:tc>
            </w:tr>
            <w:tr>
              <w:tc>
                <w:tcPr>
                  <w:tcW w:type="dxa" w:w="4762"/>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„Jedes </w:t>
                  </w:r>
                  <w:r>
                    <w:rPr>
                      <w:b/>
                      <w:sz w:val="18"/>
                    </w:rPr>
                    <w:t>Tier</w:t>
                  </w:r>
                  <w:r>
                    <w:rPr>
                      <w:sz w:val="18"/>
                    </w:rPr>
                    <w:t xml:space="preserve"> (Nummer, Name, Art) …“</w:t>
                  </w:r>
                </w:p>
              </w:tc>
              <w:tc>
                <w:tcPr>
                  <w:tcW w:type="dxa" w:w="4649"/>
                  <w:tcBorders>
                    <w:top w:val="single" w:sz="4" w:space="0" w:color="D8CCB6"/>
                    <w:left w:val="single" w:sz="4" w:space="0" w:color="D8CCB6"/>
                    <w:bottom w:val="single" w:sz="4" w:space="0" w:color="D8CCB6"/>
                    <w:right w:val="single" w:sz="4" w:space="0" w:color="D8CCB6"/>
                  </w:tcBorders>
                </w:tcPr>
                <w:p>
                  <w:pPr>
                    <w:pStyle w:val="DDTabellentext"/>
                  </w:pPr>
                  <w:r>
                    <w:rPr>
                      <w:sz w:val="18"/>
                    </w:rPr>
                    <w:t>Entitätstyp Tier, Schlüsselattribut TierNr</w:t>
                  </w:r>
                </w:p>
              </w:tc>
            </w:tr>
            <w:tr>
              <w:tc>
                <w:tcPr>
                  <w:tcW w:type="dxa" w:w="4762"/>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 wird von genau einer Pflegekraft </w:t>
                  </w:r>
                  <w:r>
                    <w:rPr>
                      <w:b/>
                      <w:sz w:val="18"/>
                    </w:rPr>
                    <w:t>versorgt</w:t>
                  </w:r>
                  <w:r>
                    <w:rPr>
                      <w:sz w:val="18"/>
                    </w:rPr>
                    <w:t xml:space="preserve"> …“</w:t>
                  </w:r>
                </w:p>
              </w:tc>
              <w:tc>
                <w:tcPr>
                  <w:tcW w:type="dxa" w:w="4649"/>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Beziehungstyp </w:t>
                  </w:r>
                  <w:r>
                    <w:rPr>
                      <w:i/>
                      <w:sz w:val="18"/>
                    </w:rPr>
                    <w:t>versorgt</w:t>
                  </w:r>
                  <w:r>
                    <w:rPr>
                      <w:sz w:val="18"/>
                    </w:rPr>
                    <w:t>, 1 an der Kante zu Pflegekraft</w:t>
                  </w:r>
                </w:p>
              </w:tc>
            </w:tr>
            <w:tr>
              <w:tc>
                <w:tcPr>
                  <w:tcW w:type="dxa" w:w="4762"/>
                  <w:tcBorders>
                    <w:top w:val="single" w:sz="4" w:space="0" w:color="D8CCB6"/>
                    <w:left w:val="single" w:sz="4" w:space="0" w:color="D8CCB6"/>
                    <w:bottom w:val="single" w:sz="4" w:space="0" w:color="D8CCB6"/>
                    <w:right w:val="single" w:sz="4" w:space="0" w:color="D8CCB6"/>
                  </w:tcBorders>
                </w:tcPr>
                <w:p>
                  <w:pPr>
                    <w:pStyle w:val="DDTabellentext"/>
                  </w:pPr>
                  <w:r>
                    <w:rPr>
                      <w:sz w:val="18"/>
                    </w:rPr>
                    <w:t>„… eine Pflegekraft versorgt mehrere Tiere.“</w:t>
                  </w:r>
                </w:p>
              </w:tc>
              <w:tc>
                <w:tcPr>
                  <w:tcW w:type="dxa" w:w="4649"/>
                  <w:tcBorders>
                    <w:top w:val="single" w:sz="4" w:space="0" w:color="D8CCB6"/>
                    <w:left w:val="single" w:sz="4" w:space="0" w:color="D8CCB6"/>
                    <w:bottom w:val="single" w:sz="4" w:space="0" w:color="D8CCB6"/>
                    <w:right w:val="single" w:sz="4" w:space="0" w:color="D8CCB6"/>
                  </w:tcBorders>
                </w:tcPr>
                <w:p>
                  <w:pPr>
                    <w:pStyle w:val="DDTabellentext"/>
                  </w:pPr>
                  <w:r>
                    <w:rPr>
                      <w:sz w:val="18"/>
                    </w:rPr>
                    <w:t>n an der Kante zu Tier</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2</w:t>
            </w:r>
            <w:r>
              <w:rPr>
                <w:rFonts w:ascii="Barlow Condensed SemiBold" w:hAnsi="Barlow Condensed SemiBold" w:eastAsia="Barlow Condensed SemiBold" w:cs="Barlow Condensed SemiBold"/>
                <w:color w:val="1C2B3A"/>
                <w:sz w:val="24"/>
              </w:rPr>
              <w:t xml:space="preserve">  Rekursive Beziehungen</w:t>
            </w:r>
          </w:p>
          <w:p>
            <w:pPr>
              <w:pStyle w:val="DDTabellentext"/>
              <w:spacing w:after="60"/>
            </w:pPr>
            <w:r>
              <w:t xml:space="preserve">Ein </w:t>
            </w:r>
            <w:r>
              <w:rPr>
                <w:b/>
              </w:rPr>
              <w:t>rekursiver</w:t>
            </w:r>
            <w:r>
              <w:t xml:space="preserve"> Beziehungstyp verbindet einen Entitätstyp </w:t>
            </w:r>
            <w:r>
              <w:rPr>
                <w:b/>
              </w:rPr>
              <w:t>mit sich selbst</w:t>
            </w:r>
            <w:r>
              <w:t xml:space="preserve">: zwei Kanten zum selben Rechteck, die </w:t>
            </w:r>
            <w:r>
              <w:rPr>
                <w:b/>
              </w:rPr>
              <w:t>Rollen</w:t>
            </w:r>
            <w:r>
              <w:t xml:space="preserve"> stehen an den Kanten. Für „Mentor“ entsteht </w:t>
            </w:r>
            <w:r>
              <w:rPr>
                <w:b/>
              </w:rPr>
              <w:t>kein</w:t>
            </w:r>
            <w:r>
              <w:t xml:space="preserve"> neuer Entitätstyp – Mentor und Neuling sind beide Ermittler.</w:t>
            </w:r>
          </w:p>
          <w:p>
            <w:r>
              <w:drawing>
                <wp:inline xmlns:a="http://schemas.openxmlformats.org/drawingml/2006/main" xmlns:pic="http://schemas.openxmlformats.org/drawingml/2006/picture">
                  <wp:extent cx="3420000" cy="1921561"/>
                  <wp:docPr id="2" name="Picture 2"/>
                  <wp:cNvGraphicFramePr>
                    <a:graphicFrameLocks noChangeAspect="1"/>
                  </wp:cNvGraphicFramePr>
                  <a:graphic>
                    <a:graphicData uri="http://schemas.openxmlformats.org/drawingml/2006/picture">
                      <pic:pic>
                        <pic:nvPicPr>
                          <pic:cNvPr id="0" name="bs2.png"/>
                          <pic:cNvPicPr/>
                        </pic:nvPicPr>
                        <pic:blipFill>
                          <a:blip r:embed="rId12"/>
                          <a:stretch>
                            <a:fillRect/>
                          </a:stretch>
                        </pic:blipFill>
                        <pic:spPr>
                          <a:xfrm>
                            <a:off x="0" y="0"/>
                            <a:ext cx="3420000" cy="1921561"/>
                          </a:xfrm>
                          <a:prstGeom prst="rect"/>
                        </pic:spPr>
                      </pic:pic>
                    </a:graphicData>
                  </a:graphic>
                </wp:inline>
              </w:drawing>
            </w:r>
          </w:p>
          <w:tbl>
            <w:tblPr>
              <w:tblStyle w:val="Datentabelle"/>
              <w:jc w:val="left"/>
              <w:tblLayout w:type="fixed"/>
              <w:tblLook w:firstColumn="1" w:firstRow="1" w:lastColumn="0" w:lastRow="0" w:noHBand="0" w:noVBand="1" w:val="04A0"/>
              <w:tblW w:w="9412" w:type="dxa"/>
            </w:tblPr>
            <w:tblGrid>
              <w:gridCol w:w="2041"/>
              <w:gridCol w:w="7371"/>
            </w:tblGrid>
            <w:tr>
              <w:trPr>
                <w:tblHeader/>
              </w:trPr>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Beziehungstyp</w:t>
                  </w:r>
                </w:p>
              </w:tc>
              <w:tc>
                <w:tcPr>
                  <w:tcW w:type="dxa" w:w="737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Leseschablone</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i/>
                      <w:sz w:val="18"/>
                    </w:rPr>
                    <w:t>betreut</w:t>
                  </w:r>
                  <w:r>
                    <w:rPr>
                      <w:sz w:val="18"/>
                    </w:rPr>
                    <w:t xml:space="preserve"> (1:n)</w:t>
                  </w:r>
                </w:p>
              </w:tc>
              <w:tc>
                <w:tcPr>
                  <w:tcW w:type="dxa" w:w="7370"/>
                  <w:tcBorders>
                    <w:top w:val="single" w:sz="4" w:space="0" w:color="D8CCB6"/>
                    <w:left w:val="single" w:sz="4" w:space="0" w:color="D8CCB6"/>
                    <w:bottom w:val="single" w:sz="4" w:space="0" w:color="D8CCB6"/>
                    <w:right w:val="single" w:sz="4" w:space="0" w:color="D8CCB6"/>
                  </w:tcBorders>
                </w:tcPr>
                <w:p>
                  <w:pPr>
                    <w:pStyle w:val="DDTabellentext"/>
                  </w:pPr>
                  <w:r>
                    <w:rPr>
                      <w:sz w:val="18"/>
                    </w:rPr>
                    <w:t>Ein Ermittler kann als Mentor mehrere Neulinge betreuen; jeder Neuling hat höchstens einen Mentor.</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i/>
                      <w:sz w:val="18"/>
                    </w:rPr>
                    <w:t>kennt</w:t>
                  </w:r>
                  <w:r>
                    <w:rPr>
                      <w:sz w:val="18"/>
                    </w:rPr>
                    <w:t xml:space="preserve"> (n:m)</w:t>
                  </w:r>
                </w:p>
              </w:tc>
              <w:tc>
                <w:tcPr>
                  <w:tcW w:type="dxa" w:w="7370"/>
                  <w:tcBorders>
                    <w:top w:val="single" w:sz="4" w:space="0" w:color="D8CCB6"/>
                    <w:left w:val="single" w:sz="4" w:space="0" w:color="D8CCB6"/>
                    <w:bottom w:val="single" w:sz="4" w:space="0" w:color="D8CCB6"/>
                    <w:right w:val="single" w:sz="4" w:space="0" w:color="D8CCB6"/>
                  </w:tcBorders>
                </w:tcPr>
                <w:p>
                  <w:pPr>
                    <w:pStyle w:val="DDTabellentext"/>
                  </w:pPr>
                  <w:r>
                    <w:rPr>
                      <w:sz w:val="18"/>
                    </w:rPr>
                    <w:t>Eine Person kann mehrere Personen kennen und von mehreren gekannt werden. Seit hängt vom Paar ab → Attribut an der Raute.</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3</w:t>
            </w:r>
            <w:r>
              <w:rPr>
                <w:rFonts w:ascii="Barlow Condensed SemiBold" w:hAnsi="Barlow Condensed SemiBold" w:eastAsia="Barlow Condensed SemiBold" w:cs="Barlow Condensed SemiBold"/>
                <w:color w:val="1C2B3A"/>
                <w:sz w:val="24"/>
              </w:rPr>
              <w:t xml:space="preserve">  Mehrere Beziehungstypen zwischen denselben Entitätstypen</w:t>
            </w:r>
          </w:p>
          <w:p>
            <w:pPr>
              <w:pStyle w:val="DDTabellentext"/>
              <w:spacing w:after="60"/>
            </w:pPr>
            <w:r>
              <w:t xml:space="preserve">Spielen zwei Entitäten in </w:t>
            </w:r>
            <w:r>
              <w:rPr>
                <w:b/>
              </w:rPr>
              <w:t>verschiedenen Rollen</w:t>
            </w:r>
            <w:r>
              <w:t xml:space="preserve"> zusammen, braucht jede Rolle einen eigenen Beziehungstyp: Ein Spiel hat ein Heim- </w:t>
            </w:r>
            <w:r>
              <w:rPr>
                <w:b/>
              </w:rPr>
              <w:t>und</w:t>
            </w:r>
            <w:r>
              <w:t xml:space="preserve"> ein Gastteam.</w:t>
            </w:r>
          </w:p>
          <w:p>
            <w:pPr>
              <w:jc w:val="center"/>
            </w:pPr>
            <w:r>
              <w:drawing>
                <wp:inline xmlns:a="http://schemas.openxmlformats.org/drawingml/2006/main" xmlns:pic="http://schemas.openxmlformats.org/drawingml/2006/picture">
                  <wp:extent cx="2880000" cy="1227101"/>
                  <wp:docPr id="3" name="Picture 3"/>
                  <wp:cNvGraphicFramePr>
                    <a:graphicFrameLocks noChangeAspect="1"/>
                  </wp:cNvGraphicFramePr>
                  <a:graphic>
                    <a:graphicData uri="http://schemas.openxmlformats.org/drawingml/2006/picture">
                      <pic:pic>
                        <pic:nvPicPr>
                          <pic:cNvPr id="0" name="er_140340857542736.png"/>
                          <pic:cNvPicPr/>
                        </pic:nvPicPr>
                        <pic:blipFill>
                          <a:blip r:embed="rId13"/>
                          <a:stretch>
                            <a:fillRect/>
                          </a:stretch>
                        </pic:blipFill>
                        <pic:spPr>
                          <a:xfrm>
                            <a:off x="0" y="0"/>
                            <a:ext cx="2880000" cy="1227101"/>
                          </a:xfrm>
                          <a:prstGeom prst="rect"/>
                        </pic:spPr>
                      </pic:pic>
                    </a:graphicData>
                  </a:graphic>
                </wp:inline>
              </w:drawing>
            </w:r>
          </w:p>
          <w:p>
            <w:pPr>
              <w:pStyle w:val="DDTabellentext"/>
              <w:spacing w:after="60"/>
            </w:pPr>
            <w:r>
              <w:t xml:space="preserve">Genauso in der Detektei: Eine Person kann einen Fall </w:t>
            </w:r>
            <w:r>
              <w:rPr>
                <w:i/>
              </w:rPr>
              <w:t>melden</w:t>
            </w:r>
            <w:r>
              <w:t xml:space="preserve"> und in einem (anderen) Fall </w:t>
            </w:r>
            <w:r>
              <w:rPr>
                <w:i/>
              </w:rPr>
              <w:t>verdaechtig</w:t>
            </w:r>
            <w:r>
              <w:t xml:space="preserve"> sein – zwei Rauten zwischen Person und Fall.</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4</w:t>
            </w:r>
            <w:r>
              <w:rPr>
                <w:rFonts w:ascii="Barlow Condensed SemiBold" w:hAnsi="Barlow Condensed SemiBold" w:eastAsia="Barlow Condensed SemiBold" w:cs="Barlow Condensed SemiBold"/>
                <w:color w:val="1C2B3A"/>
                <w:sz w:val="24"/>
              </w:rPr>
              <w:t xml:space="preserve">  Ternäre Beziehung m:n:p</w:t>
            </w:r>
          </w:p>
          <w:p>
            <w:pPr>
              <w:pStyle w:val="DDTabellentext"/>
              <w:spacing w:after="60"/>
            </w:pPr>
            <w:r>
              <w:t xml:space="preserve">Eine Raute, </w:t>
            </w:r>
            <w:r>
              <w:rPr>
                <w:b/>
              </w:rPr>
              <w:t>drei</w:t>
            </w:r>
            <w:r>
              <w:t xml:space="preserve"> Kanten: </w:t>
            </w:r>
            <w:r>
              <w:rPr>
                <w:i/>
              </w:rPr>
              <w:t>sagtAus</w:t>
            </w:r>
            <w:r>
              <w:t xml:space="preserve"> hält fest, </w:t>
            </w:r>
            <w:r>
              <w:rPr>
                <w:b/>
              </w:rPr>
              <w:t>wer</w:t>
            </w:r>
            <w:r>
              <w:t xml:space="preserve"> in </w:t>
            </w:r>
            <w:r>
              <w:rPr>
                <w:b/>
              </w:rPr>
              <w:t>welchem Fall</w:t>
            </w:r>
            <w:r>
              <w:t xml:space="preserve"> an </w:t>
            </w:r>
            <w:r>
              <w:rPr>
                <w:b/>
              </w:rPr>
              <w:t>welchem Ort</w:t>
            </w:r>
            <w:r>
              <w:t xml:space="preserve"> ausgesagt hat. Zeitpunkt und Inhalt hängen vom Trio ab.</w:t>
            </w:r>
          </w:p>
          <w:p>
            <w:pPr>
              <w:jc w:val="center"/>
            </w:pPr>
            <w:r>
              <w:drawing>
                <wp:inline xmlns:a="http://schemas.openxmlformats.org/drawingml/2006/main" xmlns:pic="http://schemas.openxmlformats.org/drawingml/2006/picture">
                  <wp:extent cx="2880000" cy="2005393"/>
                  <wp:docPr id="4" name="Picture 4"/>
                  <wp:cNvGraphicFramePr>
                    <a:graphicFrameLocks noChangeAspect="1"/>
                  </wp:cNvGraphicFramePr>
                  <a:graphic>
                    <a:graphicData uri="http://schemas.openxmlformats.org/drawingml/2006/picture">
                      <pic:pic>
                        <pic:nvPicPr>
                          <pic:cNvPr id="0" name="er_140340857542736.png"/>
                          <pic:cNvPicPr/>
                        </pic:nvPicPr>
                        <pic:blipFill>
                          <a:blip r:embed="rId14"/>
                          <a:stretch>
                            <a:fillRect/>
                          </a:stretch>
                        </pic:blipFill>
                        <pic:spPr>
                          <a:xfrm>
                            <a:off x="0" y="0"/>
                            <a:ext cx="2880000" cy="2005393"/>
                          </a:xfrm>
                          <a:prstGeom prst="rect"/>
                        </pic:spPr>
                      </pic:pic>
                    </a:graphicData>
                  </a:graphic>
                </wp:inline>
              </w:drawing>
            </w:r>
          </w:p>
          <w:p>
            <w:pPr>
              <w:pStyle w:val="DDTabellentext"/>
              <w:spacing w:after="60"/>
            </w:pPr>
            <w:r>
              <w:t>Drei binäre Beziehungen (Person–Fall, Fall–Ort, Person–Ort) reichen nicht: Sagt eine Person in zwei Fällen an zwei Orten aus, lässt sich daraus nicht mehr ablesen, wo sie zu welchem Fall ausgesagt hat.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5</w:t>
            </w:r>
            <w:r>
              <w:rPr>
                <w:rFonts w:ascii="Barlow Condensed SemiBold" w:hAnsi="Barlow Condensed SemiBold" w:eastAsia="Barlow Condensed SemiBold" w:cs="Barlow Condensed SemiBold"/>
                <w:color w:val="1C2B3A"/>
                <w:sz w:val="24"/>
              </w:rPr>
              <w:t xml:space="preserve">  Grenzen der Notation und Beurteilen</w:t>
            </w:r>
          </w:p>
          <w:tbl>
            <w:tblPr>
              <w:tblStyle w:val="Datentabelle"/>
              <w:jc w:val="left"/>
              <w:tblLayout w:type="fixed"/>
              <w:tblLook w:firstColumn="1" w:firstRow="1" w:lastColumn="0" w:lastRow="0" w:noHBand="0" w:noVBand="1" w:val="04A0"/>
              <w:tblW w:w="9412" w:type="dxa"/>
            </w:tblPr>
            <w:tblGrid>
              <w:gridCol w:w="6237"/>
              <w:gridCol w:w="3175"/>
            </w:tblGrid>
            <w:tr>
              <w:trPr>
                <w:tblHeader/>
              </w:trPr>
              <w:tc>
                <w:tcPr>
                  <w:tcW w:type="dxa" w:w="623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Anforderung</w:t>
                  </w:r>
                </w:p>
              </w:tc>
              <w:tc>
                <w:tcPr>
                  <w:tcW w:type="dxa" w:w="3175"/>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mit 1/n/m?</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„Jeder Fall hat </w:t>
                  </w:r>
                  <w:r>
                    <w:rPr>
                      <w:b/>
                      <w:sz w:val="18"/>
                    </w:rPr>
                    <w:t>genau eine</w:t>
                  </w:r>
                  <w:r>
                    <w:rPr>
                      <w:sz w:val="18"/>
                    </w:rPr>
                    <w:t xml:space="preserve"> Leitung.“</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ja – die 1 an der Kante</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„Eine Person kann in </w:t>
                  </w:r>
                  <w:r>
                    <w:rPr>
                      <w:b/>
                      <w:sz w:val="18"/>
                    </w:rPr>
                    <w:t>beliebig vielen</w:t>
                  </w:r>
                  <w:r>
                    <w:rPr>
                      <w:sz w:val="18"/>
                    </w:rPr>
                    <w:t xml:space="preserve"> Fällen verdächtig sein.“</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ja – n bzw. m</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„Jedes Team hat </w:t>
                  </w:r>
                  <w:r>
                    <w:rPr>
                      <w:b/>
                      <w:sz w:val="18"/>
                    </w:rPr>
                    <w:t>genau drei</w:t>
                  </w:r>
                  <w:r>
                    <w:rPr>
                      <w:sz w:val="18"/>
                    </w:rPr>
                    <w:t xml:space="preserve"> Ermittler.“</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nein – Anmerkung zum Modell</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„Ein Mentor muss einen </w:t>
                  </w:r>
                  <w:r>
                    <w:rPr>
                      <w:b/>
                      <w:sz w:val="18"/>
                    </w:rPr>
                    <w:t>höheren Dienstgrad</w:t>
                  </w:r>
                  <w:r>
                    <w:rPr>
                      <w:sz w:val="18"/>
                    </w:rPr>
                    <w:t xml:space="preserve"> haben.“</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nein – Anmerkung zum Modell</w:t>
                  </w:r>
                </w:p>
              </w:tc>
            </w:tr>
          </w:tbl>
          <w:p>
            <w:pPr>
              <w:pStyle w:val="DDAbstand"/>
            </w:pPr>
          </w:p>
          <w:p>
            <w:pPr>
              <w:pStyle w:val="DDTabellentext"/>
              <w:spacing w:after="60"/>
            </w:pPr>
            <w:r>
              <w:rPr>
                <w:b/>
              </w:rPr>
              <w:t>Beurteilen</w:t>
            </w:r>
            <w:r>
              <w:t xml:space="preserve"> heißt: Alternativen benennen (z. B. Ort als Attribut oder als eigener Entitätstyp), ihre Folgen abwägen (Redundanz, Auswertbarkeit, Vollständigkeit) und ein begründetes Urteil fällen.</w:t>
            </w:r>
          </w:p>
        </w:tc>
      </w:tr>
    </w:tbl>
    <w:p>
      <w:pPr>
        <w:spacing w:after="0" w:line="160" w:lineRule="exact"/>
      </w:pPr>
    </w:p>
    <w:p>
      <w:pPr>
        <w:pStyle w:val="Heading2"/>
      </w:pPr>
      <w:r>
        <w:t>Ermittlungsaufträge</w:t>
      </w:r>
    </w:p>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67"/>
        <w:gridCol w:w="963"/>
        <w:gridCol w:w="963"/>
        <w:gridCol w:w="7144"/>
      </w:tblGrid>
      <w:tr>
        <w:trPr>
          <w:tblHeader/>
        </w:trPr>
        <w:tc>
          <w:tcPr>
            <w:tcW w:type="dxa" w:w="567"/>
            <w:shd w:val="clear" w:color="auto" w:fill="EBE2D2"/>
          </w:tcPr>
          <w:p>
            <w:pPr>
              <w:pStyle w:val="DDTabellentext"/>
            </w:pPr>
            <w:r>
              <w:rPr>
                <w:rFonts w:ascii="IBM Plex Mono" w:hAnsi="IBM Plex Mono" w:eastAsia="IBM Plex Mono" w:cs="IBM Plex Mono"/>
                <w:b/>
                <w:color w:val="46525E"/>
                <w:sz w:val="15"/>
                <w:spacing w:val="16"/>
              </w:rPr>
              <w:t>NR.</w:t>
            </w:r>
          </w:p>
        </w:tc>
        <w:tc>
          <w:tcPr>
            <w:tcW w:type="dxa" w:w="964"/>
            <w:shd w:val="clear" w:color="auto" w:fill="EBE2D2"/>
          </w:tcPr>
          <w:p>
            <w:pPr>
              <w:pStyle w:val="DDTabellentext"/>
            </w:pPr>
            <w:r>
              <w:rPr>
                <w:rFonts w:ascii="IBM Plex Mono" w:hAnsi="IBM Plex Mono" w:eastAsia="IBM Plex Mono" w:cs="IBM Plex Mono"/>
                <w:b/>
                <w:color w:val="46525E"/>
                <w:sz w:val="15"/>
                <w:spacing w:val="16"/>
              </w:rPr>
              <w:t>STUFE</w:t>
            </w:r>
          </w:p>
        </w:tc>
        <w:tc>
          <w:tcPr>
            <w:tcW w:type="dxa" w:w="964"/>
            <w:shd w:val="clear" w:color="auto" w:fill="EBE2D2"/>
          </w:tcPr>
          <w:p>
            <w:pPr>
              <w:pStyle w:val="DDTabellentext"/>
            </w:pPr>
            <w:r>
              <w:rPr>
                <w:rFonts w:ascii="IBM Plex Mono" w:hAnsi="IBM Plex Mono" w:eastAsia="IBM Plex Mono" w:cs="IBM Plex Mono"/>
                <w:b/>
                <w:color w:val="46525E"/>
                <w:sz w:val="15"/>
                <w:spacing w:val="16"/>
              </w:rPr>
              <w:t>ORT</w:t>
            </w:r>
          </w:p>
        </w:tc>
        <w:tc>
          <w:tcPr>
            <w:tcW w:type="dxa" w:w="7144"/>
            <w:shd w:val="clear" w:color="auto" w:fill="EBE2D2"/>
          </w:tcPr>
          <w:p>
            <w:pPr>
              <w:pStyle w:val="DDTabellentext"/>
            </w:pPr>
            <w:r>
              <w:rPr>
                <w:rFonts w:ascii="IBM Plex Mono" w:hAnsi="IBM Plex Mono" w:eastAsia="IBM Plex Mono" w:cs="IBM Plex Mono"/>
                <w:b/>
                <w:color w:val="46525E"/>
                <w:sz w:val="15"/>
                <w:spacing w:val="16"/>
              </w:rPr>
              <w:t>AUFTRAG</w:t>
            </w:r>
          </w:p>
        </w:tc>
      </w:tr>
      <w:tr>
        <w:trPr>
          <w:cantSplit/>
        </w:trP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1</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Markiere im Anforderungstext </w:t>
            </w:r>
            <w:r>
              <w:rPr>
                <w:b/>
              </w:rPr>
              <w:t>Entitätstypen</w:t>
            </w:r>
            <w:r>
              <w:t xml:space="preserve">, </w:t>
            </w:r>
            <w:r>
              <w:rPr>
                <w:b/>
              </w:rPr>
              <w:t>Beziehungstypen</w:t>
            </w:r>
            <w:r>
              <w:t xml:space="preserve">, </w:t>
            </w:r>
            <w:r>
              <w:rPr>
                <w:b/>
              </w:rPr>
              <w:t>Attribute</w:t>
            </w:r>
            <w:r>
              <w:t xml:space="preserve"> und </w:t>
            </w:r>
            <w:r>
              <w:rPr>
                <w:b/>
              </w:rPr>
              <w:t>Mengenangaben</w:t>
            </w:r>
            <w:r>
              <w:t xml:space="preserve"> in vier verschiedenen Farben.</w:t>
            </w:r>
          </w:p>
          <w:tbl>
            <w:tblPr>
              <w:tblStyle w:val="Datentabelle"/>
              <w:jc w:val="left"/>
              <w:tblLayout w:type="fixed"/>
              <w:tblLook w:firstColumn="1" w:firstRow="1" w:lastColumn="0" w:lastRow="0" w:noHBand="0" w:noVBand="1" w:val="04A0"/>
              <w:tblW w:w="6804" w:type="dxa"/>
            </w:tblPr>
            <w:tblGrid>
              <w:gridCol w:w="6804"/>
            </w:tblGrid>
            <w:tr>
              <w:trPr>
                <w:tblHeader/>
              </w:trPr>
              <w:tc>
                <w:tcPr>
                  <w:tcW w:type="dxa" w:w="680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ANFORDERUNGSTEXT DES WETTBEWERBS</w:t>
                  </w:r>
                </w:p>
              </w:tc>
            </w:tr>
            <w:tr>
              <w:tc>
                <w:tcPr>
                  <w:tcW w:type="dxa" w:w="6803"/>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„Die Detektei verwaltet ihre </w:t>
                  </w:r>
                  <w:r>
                    <w:rPr>
                      <w:b/>
                      <w:sz w:val="18"/>
                    </w:rPr>
                    <w:t>Ermittler</w:t>
                  </w:r>
                  <w:r>
                    <w:rPr>
                      <w:sz w:val="18"/>
                    </w:rPr>
                    <w:t xml:space="preserve"> (Nummer, Name, Dienstgrad). Erfahrene Ermittler </w:t>
                  </w:r>
                  <w:r>
                    <w:rPr>
                      <w:b/>
                      <w:sz w:val="18"/>
                    </w:rPr>
                    <w:t>betreuen</w:t>
                  </w:r>
                  <w:r>
                    <w:rPr>
                      <w:sz w:val="18"/>
                    </w:rPr>
                    <w:t xml:space="preserve"> als Mentor mehrere Neulinge; jeder Neuling hat höchstens einen Mentor. Jeder </w:t>
                  </w:r>
                  <w:r>
                    <w:rPr>
                      <w:b/>
                      <w:sz w:val="18"/>
                    </w:rPr>
                    <w:t>Fall</w:t>
                  </w:r>
                  <w:r>
                    <w:rPr>
                      <w:sz w:val="18"/>
                    </w:rPr>
                    <w:t xml:space="preserve"> (Nummer, Titel, Eröffnungsdatum, Status) wird von genau einem Ermittler </w:t>
                  </w:r>
                  <w:r>
                    <w:rPr>
                      <w:b/>
                      <w:sz w:val="18"/>
                    </w:rPr>
                    <w:t>geleitet</w:t>
                  </w:r>
                  <w:r>
                    <w:rPr>
                      <w:sz w:val="18"/>
                    </w:rPr>
                    <w:t xml:space="preserve">. </w:t>
                  </w:r>
                  <w:r>
                    <w:rPr>
                      <w:b/>
                      <w:sz w:val="18"/>
                    </w:rPr>
                    <w:t>Personen</w:t>
                  </w:r>
                  <w:r>
                    <w:rPr>
                      <w:sz w:val="18"/>
                    </w:rPr>
                    <w:t xml:space="preserve"> (Nummer, Vorname, Nachname, Jahrgang, Stadtteil) können in mehreren Fällen </w:t>
                  </w:r>
                  <w:r>
                    <w:rPr>
                      <w:b/>
                      <w:sz w:val="18"/>
                    </w:rPr>
                    <w:t>verdächtig</w:t>
                  </w:r>
                  <w:r>
                    <w:rPr>
                      <w:sz w:val="18"/>
                    </w:rPr>
                    <w:t xml:space="preserve"> sein, jeweils mit einem Verdachtsgrad. Personen </w:t>
                  </w:r>
                  <w:r>
                    <w:rPr>
                      <w:b/>
                      <w:sz w:val="18"/>
                    </w:rPr>
                    <w:t>kennen</w:t>
                  </w:r>
                  <w:r>
                    <w:rPr>
                      <w:sz w:val="18"/>
                    </w:rPr>
                    <w:t xml:space="preserve"> einander seit einem bestimmten Datum. Personen </w:t>
                  </w:r>
                  <w:r>
                    <w:rPr>
                      <w:b/>
                      <w:sz w:val="18"/>
                    </w:rPr>
                    <w:t>sagen</w:t>
                  </w:r>
                  <w:r>
                    <w:rPr>
                      <w:sz w:val="18"/>
                    </w:rPr>
                    <w:t xml:space="preserve"> zu einem Fall an einem </w:t>
                  </w:r>
                  <w:r>
                    <w:rPr>
                      <w:b/>
                      <w:sz w:val="18"/>
                    </w:rPr>
                    <w:t>Ort</w:t>
                  </w:r>
                  <w:r>
                    <w:rPr>
                      <w:sz w:val="18"/>
                    </w:rPr>
                    <w:t xml:space="preserve"> (Nummer, Bezeichnung, Stadtteil) zu einem Zeitpunkt </w:t>
                  </w:r>
                  <w:r>
                    <w:rPr>
                      <w:b/>
                      <w:sz w:val="18"/>
                    </w:rPr>
                    <w:t>aus</w:t>
                  </w:r>
                  <w:r>
                    <w:rPr>
                      <w:sz w:val="18"/>
                    </w:rPr>
                    <w:t xml:space="preserve">; der Inhalt wird festgehalten. </w:t>
                  </w:r>
                  <w:r>
                    <w:rPr>
                      <w:b/>
                      <w:sz w:val="18"/>
                    </w:rPr>
                    <w:t>Beweisstücke</w:t>
                  </w:r>
                  <w:r>
                    <w:rPr>
                      <w:sz w:val="18"/>
                    </w:rPr>
                    <w:t xml:space="preserve"> (Nummer, Bezeichnung) gehören zu genau einem Fall und wurden an genau einem Ort gefunden.“</w:t>
                  </w:r>
                </w:p>
              </w:tc>
            </w:tr>
          </w:tbl>
          <w:p>
            <w:pPr>
              <w:pStyle w:val="DDAbstand"/>
            </w:pPr>
          </w:p>
          <w:p>
            <w:pPr>
              <w:pStyle w:val="DDTabellentext"/>
              <w:spacing w:after="60"/>
            </w:pPr>
            <w:r>
              <w:t>Farben: Entitätstyp ______ · Beziehungstyp ______ · Attribut ______ · Mengenangabe ______</w:t>
            </w:r>
          </w:p>
        </w:tc>
      </w:tr>
      <w:tr>
        <w:trPr>
          <w:cantSplit/>
        </w:trP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2</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rPr>
                <w:b/>
              </w:rPr>
              <w:t>Entwickelt</w:t>
            </w:r>
            <w:r>
              <w:t xml:space="preserve"> im Team das ER-Modell zum Anforderungstext auf dem Plakat (A2). Skizziere hier die Beziehungstypen, über die ihr im Team gestritten habt, und eure Entscheidung.</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r>
        <w:trPr>
          <w:cantSplit/>
        </w:trP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3</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Neue Anforderung: „Ein Fall kann als </w:t>
            </w:r>
            <w:r>
              <w:rPr>
                <w:b/>
              </w:rPr>
              <w:t>Wiederaufnahme</w:t>
            </w:r>
            <w:r>
              <w:t xml:space="preserve"> eines früheren Falls eröffnet werden; derselbe frühere Fall kann mehrmals wieder aufgenommen werden.“ </w:t>
            </w:r>
            <w:r>
              <w:rPr>
                <w:b/>
              </w:rPr>
              <w:t>Erweitere</w:t>
            </w:r>
            <w:r>
              <w:t xml:space="preserve"> das Modell (nur der betroffene Ausschnitt).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r>
        <w:trPr>
          <w:cantSplit/>
        </w:trP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4</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Im Galerie-Rundgang hängt der Entwurf von Team „Hafenkante“. </w:t>
            </w:r>
            <w:r>
              <w:rPr>
                <w:b/>
              </w:rPr>
              <w:t>Beurteile</w:t>
            </w:r>
            <w:r>
              <w:t xml:space="preserve"> ihn mit den Kriterien des Bewertungsbogens: Was ist gelungen, was fehlt oder ist falsch? Schlage eine Verbesserung vor und begründe dein Urteil.</w:t>
            </w:r>
          </w:p>
          <w:p>
            <w:pPr>
              <w:jc w:val="center"/>
            </w:pPr>
            <w:r>
              <w:drawing>
                <wp:inline xmlns:a="http://schemas.openxmlformats.org/drawingml/2006/main" xmlns:pic="http://schemas.openxmlformats.org/drawingml/2006/picture">
                  <wp:extent cx="4284130" cy="2127533"/>
                  <wp:docPr id="5" name="Picture 5"/>
                  <wp:cNvGraphicFramePr>
                    <a:graphicFrameLocks noChangeAspect="1"/>
                  </wp:cNvGraphicFramePr>
                  <a:graphic>
                    <a:graphicData uri="http://schemas.openxmlformats.org/drawingml/2006/picture">
                      <pic:pic>
                        <pic:nvPicPr>
                          <pic:cNvPr id="0" name="er_140340858106864.png"/>
                          <pic:cNvPicPr/>
                        </pic:nvPicPr>
                        <pic:blipFill>
                          <a:blip r:embed="rId15"/>
                          <a:stretch>
                            <a:fillRect/>
                          </a:stretch>
                        </pic:blipFill>
                        <pic:spPr>
                          <a:xfrm>
                            <a:off x="0" y="0"/>
                            <a:ext cx="4284130" cy="2127533"/>
                          </a:xfrm>
                          <a:prstGeom prst="rect"/>
                        </pic:spPr>
                      </pic:pic>
                    </a:graphicData>
                  </a:graphic>
                </wp:inline>
              </w:drawing>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r>
        <w:trPr>
          <w:cantSplit/>
        </w:trP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5</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FFFFFF"/>
                <w:sz w:val="15"/>
                <w:shd w:val="clear" w:color="auto" w:fill="2C5A85"/>
              </w:rPr>
              <w:t xml:space="preserve"> LAB </w:t>
            </w:r>
          </w:p>
        </w:tc>
        <w:tc>
          <w:tcPr>
            <w:tcW w:type="dxa" w:w="7144"/>
            <w:tcBorders>
              <w:bottom w:val="single" w:sz="4" w:space="0" w:color="D8CCB6"/>
            </w:tcBorders>
            <w:tcMar>
              <w:top w:w="68" w:type="dxa"/>
              <w:left w:w="85" w:type="dxa"/>
              <w:bottom w:w="68" w:type="dxa"/>
              <w:right w:w="85" w:type="dxa"/>
            </w:tcMar>
          </w:tcPr>
          <w:p>
            <w:pPr>
              <w:pStyle w:val="DDTabellentext"/>
            </w:pPr>
            <w:r>
              <w:t>Bauplan-Tisch, Ermittlung 5.2, Aufgabe A5-E2-07 „Die Ermittlerschule“: Entwickle das ER-Modell aus dem Anforderungstext. Notiere, welche Kriterien dir der Bauplan-Tisch zuerst als offen gemeldet hat.</w:t>
            </w:r>
          </w:p>
          <w:p>
            <w:pPr>
              <w:pStyle w:val="DDSchreiblinie"/>
              <w:tabs>
                <w:tab w:pos="6888" w:val="left" w:leader="dot"/>
              </w:tabs>
            </w:pPr>
            <w:r>
              <w:tab/>
              <w:t>​</w:t>
            </w:r>
          </w:p>
          <w:p>
            <w:pPr>
              <w:pStyle w:val="DDSchreiblinie"/>
              <w:tabs>
                <w:tab w:pos="6888" w:val="left" w:leader="dot"/>
              </w:tabs>
            </w:pPr>
            <w:r>
              <w:tab/>
              <w:t>​</w:t>
            </w:r>
          </w:p>
          <w:p>
            <w:pPr>
              <w:pStyle w:val="DDSchreiblinie"/>
              <w:tabs>
                <w:tab w:pos="6888" w:val="left" w:leader="dot"/>
              </w:tabs>
            </w:pPr>
            <w:r>
              <w:tab/>
              <w: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12" w:space="0" w:color="B3261E"/>
              <w:left w:val="single" w:sz="12" w:space="0" w:color="B3261E"/>
              <w:bottom w:val="single" w:sz="12" w:space="0" w:color="B3261E"/>
              <w:right w:val="single" w:sz="12" w:space="0" w:color="B3261E"/>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B3261E"/>
                <w:sz w:val="15"/>
                <w:spacing w:val="16"/>
              </w:rPr>
              <w:t>ABI-ECKE</w:t>
            </w:r>
            <w:r>
              <w:rPr>
                <w:rFonts w:ascii="Barlow Condensed SemiBold" w:hAnsi="Barlow Condensed SemiBold" w:eastAsia="Barlow Condensed SemiBold" w:cs="Barlow Condensed SemiBold"/>
                <w:color w:val="1C2B3A"/>
                <w:sz w:val="24"/>
              </w:rPr>
              <w:t xml:space="preserve">  Im Stil des Abiturs</w:t>
            </w:r>
          </w:p>
          <w:p>
            <w:pPr>
              <w:pStyle w:val="DDTabellentext"/>
            </w:pPr>
            <w:r>
              <w:t xml:space="preserve">Gegeben ist das ER-Modell der Detektei (Ausschnitt). Die Detektei möchte zusätzlich erfassen, welche Ermittler gemeinsam an einem Fall arbeiten, wobei jeweils die Rolle (z. B. Spurensicherung) festgehalten wird, und welcher Ermittler welchen anderen vertritt. Jeder Ermittler hat höchstens eine feste Vertretung, kann selbst aber mehrere Kolleginnen und Kollegen vertreten. </w:t>
            </w:r>
            <w:r>
              <w:rPr>
                <w:b/>
              </w:rPr>
              <w:t>Erweitern</w:t>
            </w:r>
            <w:r>
              <w:t xml:space="preserve"> Sie das gegebene ER-Modell entsprechend. [5 BE]</w:t>
            </w:r>
          </w:p>
          <w:p>
            <w:pPr>
              <w:jc w:val="center"/>
            </w:pPr>
            <w:r>
              <w:drawing>
                <wp:inline xmlns:a="http://schemas.openxmlformats.org/drawingml/2006/main" xmlns:pic="http://schemas.openxmlformats.org/drawingml/2006/picture">
                  <wp:extent cx="3780000" cy="1080994"/>
                  <wp:docPr id="6" name="Picture 6"/>
                  <wp:cNvGraphicFramePr>
                    <a:graphicFrameLocks noChangeAspect="1"/>
                  </wp:cNvGraphicFramePr>
                  <a:graphic>
                    <a:graphicData uri="http://schemas.openxmlformats.org/drawingml/2006/picture">
                      <pic:pic>
                        <pic:nvPicPr>
                          <pic:cNvPr id="0" name="er_140340858103952.png"/>
                          <pic:cNvPicPr/>
                        </pic:nvPicPr>
                        <pic:blipFill>
                          <a:blip r:embed="rId16"/>
                          <a:stretch>
                            <a:fillRect/>
                          </a:stretch>
                        </pic:blipFill>
                        <pic:spPr>
                          <a:xfrm>
                            <a:off x="0" y="0"/>
                            <a:ext cx="3780000" cy="1080994"/>
                          </a:xfrm>
                          <a:prstGeom prst="rect"/>
                        </pic:spPr>
                      </pic:pic>
                    </a:graphicData>
                  </a:graphic>
                </wp:inline>
              </w:drawing>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tc>
      </w:tr>
    </w:tbl>
    <w:p>
      <w:pPr>
        <w:spacing w:after="0" w:line="160" w:lineRule="exact"/>
      </w:pPr>
    </w:p>
    <w:tbl>
      <w:tblPr>
        <w:tblLayout w:type="fixed"/>
        <w:tblLook w:firstColumn="1" w:firstRow="1" w:lastColumn="0" w:lastRow="0" w:noHBand="0" w:noVBand="1" w:val="04A0"/>
        <w:tblW w:w="9639" w:type="dxa"/>
      </w:tblPr>
      <w:tblGrid>
        <w:gridCol w:w="9639"/>
      </w:tblGrid>
      <w:tr>
        <w:trPr>
          <w:cantSplit/>
        </w:trPr>
        <w:tc>
          <w:tcPr>
            <w:tcW w:type="dxa" w:w="9638"/>
            <w:tcBorders>
              <w:top w:val="single" w:sz="6" w:space="0" w:color="2C5A85"/>
              <w:left w:val="single" w:sz="6" w:space="0" w:color="2C5A85"/>
              <w:bottom w:val="single" w:sz="6" w:space="0" w:color="2C5A85"/>
              <w:right w:val="single" w:sz="6" w:space="0" w:color="2C5A85"/>
            </w:tcBorders>
            <w:shd w:val="clear" w:color="auto" w:fill="E2EAF3"/>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C5A85"/>
                <w:sz w:val="15"/>
                <w:spacing w:val="16"/>
              </w:rPr>
              <w:t>SPUR IM LAB</w:t>
            </w:r>
            <w:r>
              <w:rPr>
                <w:rFonts w:ascii="Barlow Condensed SemiBold" w:hAnsi="Barlow Condensed SemiBold" w:eastAsia="Barlow Condensed SemiBold" w:cs="Barlow Condensed SemiBold"/>
                <w:color w:val="1C2B3A"/>
                <w:sz w:val="24"/>
              </w:rPr>
              <w:t xml:space="preserve">  Ermittlung 5.2 „Der Architekturwettbewerb“</w:t>
            </w:r>
          </w:p>
          <w:p>
            <w:pPr>
              <w:pStyle w:val="DDTabellentext"/>
            </w:pPr>
            <w:r>
              <w:rPr>
                <w:b/>
              </w:rPr>
              <w:t>Aufgaben:</w:t>
            </w:r>
            <w:r>
              <w:t xml:space="preserve"> A5-E2-01 … A5-E2-06 in der Stunde, A5-E2-07/08 als Hausaufgabe  ·  </w:t>
            </w:r>
            <w:r>
              <w:rPr>
                <w:b/>
              </w:rPr>
              <w:t>Werkzeug:</w:t>
            </w:r>
            <w:r>
              <w:t xml:space="preserve"> Bauplan-Tisch (Modi ergänzen und entwickeln)</w:t>
            </w:r>
          </w:p>
          <w:p>
            <w:pPr>
              <w:pStyle w:val="DDTabellentext"/>
            </w:pPr>
            <w:r>
              <w:t>Die Referenzlösung des Wettbewerbs erscheint im Lab erst, wenn du A5-E2-07 gelöst hast. Cold Case im Lab: A5-E2-CC „Das Phantom-Netz“.</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dashed" w:sz="8" w:space="0" w:color="58626D"/>
              <w:left w:val="dashed" w:sz="8" w:space="0" w:color="58626D"/>
              <w:bottom w:val="dashed" w:sz="8" w:space="0" w:color="58626D"/>
              <w:right w:val="dashed" w:sz="8" w:space="0" w:color="58626D"/>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COLD CASE · OHNE PUNKTE</w:t>
            </w:r>
            <w:r>
              <w:rPr>
                <w:rFonts w:ascii="Barlow Condensed SemiBold" w:hAnsi="Barlow Condensed SemiBold" w:eastAsia="Barlow Condensed SemiBold" w:cs="Barlow Condensed SemiBold"/>
                <w:color w:val="1C2B3A"/>
                <w:sz w:val="24"/>
              </w:rPr>
              <w:t xml:space="preserve">  Das Phantom-Netz</w:t>
            </w:r>
          </w:p>
          <w:p>
            <w:pPr>
              <w:pStyle w:val="DDTabellentext"/>
            </w:pPr>
            <w:r>
              <w:t xml:space="preserve">Edda vermutet, dass das Phantom nicht allein arbeitet: „Eine Person ist </w:t>
            </w:r>
            <w:r>
              <w:rPr>
                <w:b/>
              </w:rPr>
              <w:t>in einem bestimmten Fall</w:t>
            </w:r>
            <w:r>
              <w:t xml:space="preserve"> Komplizin bzw. Komplize einer anderen Person.“ Modelliere diese Anforderung. Welche Art von Beziehung entsteht – und warum reicht ein zweiter rekursiver Beziehungstyp an Person ohne Fall nicht?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p>
            <w:pPr>
              <w:pStyle w:val="DDSchreiblinie"/>
              <w:tabs>
                <w:tab w:pos="9383" w:val="left" w:leader="dot"/>
              </w:tabs>
            </w:pPr>
            <w:r>
              <w:tab/>
              <w:t>​</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AB 5.2</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5 · DER BAUPLAN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Architekturwettbewerb</dc:title>
  <dc:subject>Der Bauplan</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5</vt:lpwstr>
  </property>
  <property fmtid="{D5CDD505-2E9C-101B-9397-08002B2CF9AE}" pid="3" name="DD-Art">
    <vt:lpwstr>ab</vt:lpwstr>
  </property>
  <property fmtid="{D5CDD505-2E9C-101B-9397-08002B2CF9AE}" pid="4" name="DD-Datenbank">
    <vt:lpwstr>detektei</vt:lpwstr>
  </property>
  <property fmtid="{D5CDD505-2E9C-101B-9397-08002B2CF9AE}" pid="5" name="DD-Fassung">
    <vt:lpwstr>schueler</vt:lpwstr>
  </property>
  <property fmtid="{D5CDD505-2E9C-101B-9397-08002B2CF9AE}" pid="6" name="DD-Kompetenzen">
    <vt:lpwstr>{"AB 5.2/1": ["DB-K35"], "AB 5.2/2": ["DB-K35", "DB-K37", "DB-K38"], "AB 5.2/3": ["DB-K39", "DB-K37"], "AB 5.2/4": ["DB-K40"], "AB 5.2/5": ["DB-K35"], "AB 5.2/Abi-Ecke": ["DB-K39", "DB-K37", "DB-K36"], "AB 5.2/Cold Case": ["DB-K37", "DB-K38"]}</vt:lpwstr>
  </property>
  <property fmtid="{D5CDD505-2E9C-101B-9397-08002B2CF9AE}" pid="7" name="DD-Kuer">
    <vt:lpwstr>nein</vt:lpwstr>
  </property>
  <property fmtid="{D5CDD505-2E9C-101B-9397-08002B2CF9AE}" pid="8" name="DD-Material">
    <vt:lpwstr>AB 5.2</vt:lpwstr>
  </property>
</Properties>
</file>