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7257"/>
        <w:gridCol w:w="2381"/>
      </w:tblGrid>
      <w:tr>
        <w:tc>
          <w:tcPr>
            <w:tcW w:type="dxa" w:w="7257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6"/>
                <w:spacing w:val="16"/>
              </w:rPr>
              <w:t>AKTE 5 · ERMITTLUNG 5.3 · DS 11</w:t>
            </w:r>
          </w:p>
          <w:p>
            <w:pPr>
              <w:pStyle w:val="DDTabellentext"/>
              <w:spacing w:before="60" w:after="40"/>
            </w:pP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42"/>
              </w:rPr>
              <w:t>Vom Plan zur Datenbank</w:t>
            </w:r>
          </w:p>
          <w:p>
            <w:pPr>
              <w:pStyle w:val="DDTabellentext"/>
            </w:pPr>
            <w:r>
              <w:rPr>
                <w:color w:val="46525E"/>
                <w:sz w:val="21"/>
              </w:rPr>
              <w:t>Überführungsregeln R1–R6, Begründungen, Rückrichtung Schema → ER, Self-Join · nur eA</w:t>
            </w:r>
          </w:p>
          <w:p>
            <w:pPr>
              <w:pStyle w:val="DDTabellentext"/>
              <w:spacing w:before="10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7"/>
                <w:spacing w:val="16"/>
              </w:rPr>
              <w:t>LÖSUNG · NUR LEHRKRAFT</w:t>
            </w:r>
          </w:p>
        </w:tc>
        <w:tc>
          <w:tcPr>
            <w:tcW w:type="dxa" w:w="2381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000" cy="42224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mpe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00" cy="4222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line="160" w:lineRule="exact"/>
      </w:pPr>
    </w:p>
    <w:p>
      <w:pPr>
        <w:pStyle w:val="DDFall-Einstieg"/>
      </w:pPr>
      <w:r>
        <w:rPr>
          <w:rFonts w:ascii="IBM Plex Mono" w:hAnsi="IBM Plex Mono" w:eastAsia="IBM Plex Mono" w:cs="IBM Plex Mono"/>
          <w:b/>
          <w:color w:val="B3261E"/>
          <w:sz w:val="15"/>
          <w:spacing w:val="16"/>
        </w:rPr>
        <w:t xml:space="preserve">FALL-EINSTIEG  </w:t>
      </w:r>
      <w:r>
        <w:t>Der Bauplan ist genehmigt. Jetzt müsst ihr ihn in Tabellen gießen – und zwar so, dass das Phantom keine Anomalie mehr ausnutzen kann.</w:t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1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Überführungsregeln R1–R6 (Beispiel Schule)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412" w:type="dxa"/>
            </w:tblPr>
            <w:tblGrid>
              <w:gridCol w:w="1474"/>
              <w:gridCol w:w="2608"/>
              <w:gridCol w:w="5329"/>
            </w:tblGrid>
            <w:tr>
              <w:trPr>
                <w:tblHeader/>
              </w:trPr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Regel</w:t>
                  </w:r>
                </w:p>
              </w:tc>
              <w:tc>
                <w:tcPr>
                  <w:tcW w:type="dxa" w:w="260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im ER-Modell</w:t>
                  </w:r>
                </w:p>
              </w:tc>
              <w:tc>
                <w:tcPr>
                  <w:tcW w:type="dxa" w:w="5329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im Relationenschema (Kurzschreibweise)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8"/>
                    </w:rPr>
                    <w:t>R1</w:t>
                  </w:r>
                  <w:r>
                    <w:rPr>
                      <w:sz w:val="18"/>
                    </w:rPr>
                    <w:t xml:space="preserve"> Entitätstyp</w:t>
                  </w:r>
                </w:p>
              </w:tc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Rechteck Kurs</w:t>
                  </w:r>
                </w:p>
              </w:tc>
              <w:tc>
                <w:tcPr>
                  <w:tcW w:type="dxa" w:w="532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Kurs(</w:t>
                  </w:r>
                  <w:r>
                    <w:rPr>
                      <w:sz w:val="18"/>
                      <w:u w:val="single"/>
                    </w:rPr>
                    <w:t>KursNr</w:t>
                  </w:r>
                  <w:r>
                    <w:rPr>
                      <w:sz w:val="18"/>
                    </w:rPr>
                    <w:t>, Titel) – Schlüsselattribut → Primärschlüssel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8"/>
                    </w:rPr>
                    <w:t>R2</w:t>
                  </w:r>
                  <w:r>
                    <w:rPr>
                      <w:sz w:val="18"/>
                    </w:rPr>
                    <w:t xml:space="preserve"> 1:n</w:t>
                  </w:r>
                </w:p>
              </w:tc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 xml:space="preserve">Lehrkraft 1 – </w:t>
                  </w:r>
                  <w:r>
                    <w:rPr>
                      <w:i/>
                      <w:sz w:val="18"/>
                    </w:rPr>
                    <w:t>leitet</w:t>
                  </w:r>
                  <w:r>
                    <w:rPr>
                      <w:sz w:val="18"/>
                    </w:rPr>
                    <w:t xml:space="preserve"> – n Kurs</w:t>
                  </w:r>
                </w:p>
              </w:tc>
              <w:tc>
                <w:tcPr>
                  <w:tcW w:type="dxa" w:w="532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Kurs(</w:t>
                  </w:r>
                  <w:r>
                    <w:rPr>
                      <w:sz w:val="18"/>
                      <w:u w:val="single"/>
                    </w:rPr>
                    <w:t>KursNr</w:t>
                  </w:r>
                  <w:r>
                    <w:rPr>
                      <w:sz w:val="18"/>
                    </w:rPr>
                    <w:t xml:space="preserve">, Titel,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  <w:sz w:val="18"/>
                    </w:rPr>
                    <w:t>↑</w:t>
                  </w:r>
                  <w:r>
                    <w:rPr>
                      <w:sz w:val="18"/>
                    </w:rPr>
                    <w:t xml:space="preserve">LehrkraftNr) – Fremdschlüssel auf der </w:t>
                  </w:r>
                  <w:r>
                    <w:rPr>
                      <w:b/>
                      <w:sz w:val="18"/>
                    </w:rPr>
                    <w:t>n-Seite</w:t>
                  </w:r>
                  <w:r>
                    <w:rPr>
                      <w:sz w:val="18"/>
                    </w:rPr>
                    <w:t>; Attribute des Beziehungstyps ebenfalls dorthin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8"/>
                    </w:rPr>
                    <w:t>R3</w:t>
                  </w:r>
                  <w:r>
                    <w:rPr>
                      <w:sz w:val="18"/>
                    </w:rPr>
                    <w:t xml:space="preserve"> n:m</w:t>
                  </w:r>
                </w:p>
              </w:tc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 xml:space="preserve">Schueler n – </w:t>
                  </w:r>
                  <w:r>
                    <w:rPr>
                      <w:i/>
                      <w:sz w:val="18"/>
                    </w:rPr>
                    <w:t>belegt</w:t>
                  </w:r>
                  <w:r>
                    <w:rPr>
                      <w:sz w:val="18"/>
                    </w:rPr>
                    <w:t xml:space="preserve"> – m Kurs (Note)</w:t>
                  </w:r>
                </w:p>
              </w:tc>
              <w:tc>
                <w:tcPr>
                  <w:tcW w:type="dxa" w:w="532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belegt(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  <w:sz w:val="18"/>
                      <w:u w:val="single"/>
                    </w:rPr>
                    <w:t>↑</w:t>
                  </w:r>
                  <w:r>
                    <w:rPr>
                      <w:sz w:val="18"/>
                      <w:u w:val="single"/>
                    </w:rPr>
                    <w:t>SchuelerNr</w:t>
                  </w:r>
                  <w:r>
                    <w:rPr>
                      <w:sz w:val="18"/>
                    </w:rPr>
                    <w:t xml:space="preserve">,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  <w:sz w:val="18"/>
                      <w:u w:val="single"/>
                    </w:rPr>
                    <w:t>↑</w:t>
                  </w:r>
                  <w:r>
                    <w:rPr>
                      <w:sz w:val="18"/>
                      <w:u w:val="single"/>
                    </w:rPr>
                    <w:t>KursNr</w:t>
                  </w:r>
                  <w:r>
                    <w:rPr>
                      <w:sz w:val="18"/>
                    </w:rPr>
                    <w:t>, Note) – eigene Relation, Primärschlüssel aus beiden Fremdschlüsseln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8"/>
                    </w:rPr>
                    <w:t>R4</w:t>
                  </w:r>
                  <w:r>
                    <w:rPr>
                      <w:sz w:val="18"/>
                    </w:rPr>
                    <w:t xml:space="preserve"> 1:1</w:t>
                  </w:r>
                </w:p>
              </w:tc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 xml:space="preserve">Lehrkraft 1 – </w:t>
                  </w:r>
                  <w:r>
                    <w:rPr>
                      <w:i/>
                      <w:sz w:val="18"/>
                    </w:rPr>
                    <w:t>nutzt</w:t>
                  </w:r>
                  <w:r>
                    <w:rPr>
                      <w:sz w:val="18"/>
                    </w:rPr>
                    <w:t xml:space="preserve"> – 1 Schliessfach</w:t>
                  </w:r>
                </w:p>
              </w:tc>
              <w:tc>
                <w:tcPr>
                  <w:tcW w:type="dxa" w:w="532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Schliessfach(</w:t>
                  </w:r>
                  <w:r>
                    <w:rPr>
                      <w:sz w:val="18"/>
                      <w:u w:val="single"/>
                    </w:rPr>
                    <w:t>FachNr</w:t>
                  </w:r>
                  <w:r>
                    <w:rPr>
                      <w:sz w:val="18"/>
                    </w:rPr>
                    <w:t xml:space="preserve">, Etage,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  <w:sz w:val="18"/>
                    </w:rPr>
                    <w:t>↑</w:t>
                  </w:r>
                  <w:r>
                    <w:rPr>
                      <w:sz w:val="18"/>
                    </w:rPr>
                    <w:t xml:space="preserve">LehrkraftNr) – Fremdschlüssel auf </w:t>
                  </w:r>
                  <w:r>
                    <w:rPr>
                      <w:b/>
                      <w:sz w:val="18"/>
                    </w:rPr>
                    <w:t>einer</w:t>
                  </w:r>
                  <w:r>
                    <w:rPr>
                      <w:sz w:val="18"/>
                    </w:rPr>
                    <w:t xml:space="preserve"> Seite (oder beide Relationen zusammenlegen)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8"/>
                    </w:rPr>
                    <w:t>R5</w:t>
                  </w:r>
                  <w:r>
                    <w:rPr>
                      <w:sz w:val="18"/>
                    </w:rPr>
                    <w:t xml:space="preserve"> rekursiv</w:t>
                  </w:r>
                </w:p>
              </w:tc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 xml:space="preserve">Schueler 1 – </w:t>
                  </w:r>
                  <w:r>
                    <w:rPr>
                      <w:i/>
                      <w:sz w:val="18"/>
                    </w:rPr>
                    <w:t>istPateVon</w:t>
                  </w:r>
                  <w:r>
                    <w:rPr>
                      <w:sz w:val="18"/>
                    </w:rPr>
                    <w:t xml:space="preserve"> – n Schueler</w:t>
                  </w:r>
                </w:p>
              </w:tc>
              <w:tc>
                <w:tcPr>
                  <w:tcW w:type="dxa" w:w="532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Schueler(</w:t>
                  </w:r>
                  <w:r>
                    <w:rPr>
                      <w:sz w:val="18"/>
                      <w:u w:val="single"/>
                    </w:rPr>
                    <w:t>SchuelerNr</w:t>
                  </w:r>
                  <w:r>
                    <w:rPr>
                      <w:sz w:val="18"/>
                    </w:rPr>
                    <w:t xml:space="preserve">, Name,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  <w:sz w:val="18"/>
                    </w:rPr>
                    <w:t>↑</w:t>
                  </w:r>
                  <w:r>
                    <w:rPr>
                      <w:sz w:val="18"/>
                    </w:rPr>
                    <w:t>PateNr) – Fremdschlüssel auf die eigene Relation, benannt nach der Rolle; rekursiv n:m → eigene Relation mit zwei Fremdschlüsseln auf dieselbe Relation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8"/>
                    </w:rPr>
                    <w:t>R6</w:t>
                  </w:r>
                  <w:r>
                    <w:rPr>
                      <w:sz w:val="18"/>
                    </w:rPr>
                    <w:t xml:space="preserve"> ternär</w:t>
                  </w:r>
                </w:p>
              </w:tc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 xml:space="preserve">Schueler, Kurs, Raum – </w:t>
                  </w:r>
                  <w:r>
                    <w:rPr>
                      <w:i/>
                      <w:sz w:val="18"/>
                    </w:rPr>
                    <w:t>praesentiert</w:t>
                  </w:r>
                </w:p>
              </w:tc>
              <w:tc>
                <w:tcPr>
                  <w:tcW w:type="dxa" w:w="532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praesentiert(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  <w:sz w:val="18"/>
                      <w:u w:val="single"/>
                    </w:rPr>
                    <w:t>↑</w:t>
                  </w:r>
                  <w:r>
                    <w:rPr>
                      <w:sz w:val="18"/>
                      <w:u w:val="single"/>
                    </w:rPr>
                    <w:t>SchuelerNr</w:t>
                  </w:r>
                  <w:r>
                    <w:rPr>
                      <w:sz w:val="18"/>
                    </w:rPr>
                    <w:t xml:space="preserve">,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  <w:sz w:val="18"/>
                      <w:u w:val="single"/>
                    </w:rPr>
                    <w:t>↑</w:t>
                  </w:r>
                  <w:r>
                    <w:rPr>
                      <w:sz w:val="18"/>
                      <w:u w:val="single"/>
                    </w:rPr>
                    <w:t>KursNr</w:t>
                  </w:r>
                  <w:r>
                    <w:rPr>
                      <w:sz w:val="18"/>
                    </w:rPr>
                    <w:t xml:space="preserve">,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  <w:sz w:val="18"/>
                      <w:u w:val="single"/>
                    </w:rPr>
                    <w:t>↑</w:t>
                  </w:r>
                  <w:r>
                    <w:rPr>
                      <w:sz w:val="18"/>
                      <w:u w:val="single"/>
                    </w:rPr>
                    <w:t>RaumNr</w:t>
                  </w:r>
                  <w:r>
                    <w:rPr>
                      <w:sz w:val="18"/>
                    </w:rPr>
                    <w:t>, Thema) – eigene Relation mit drei Fremdschlüsseln im Primärschlüssel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t xml:space="preserve">Kurzschreibweise nach EH §7: Primärschlüssel unterstrichen, Fremdschlüssel mit </w:t>
            </w:r>
            <w:r>
              <w:rPr>
                <w:rFonts w:ascii="IBM Plex Mono" w:hAnsi="IBM Plex Mono" w:eastAsia="IBM Plex Mono" w:cs="IBM Plex Mono"/>
                <w:color w:val="B3261E"/>
              </w:rPr>
              <w:t>↑</w:t>
            </w:r>
            <w:r>
              <w:t xml:space="preserve"> direkt vor dem Namen.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2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Begründen: Warum n:m eine eigene Relation braucht – 1:n nicht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1:n:</w:t>
            </w:r>
            <w:r>
              <w:t xml:space="preserve"> Auf der n-Seite gehört zu jeder Zeile </w:t>
            </w:r>
            <w:r>
              <w:rPr>
                <w:b/>
              </w:rPr>
              <w:t>genau ein</w:t>
            </w:r>
            <w:r>
              <w:t xml:space="preserve"> Partner (jeder Kurs hat genau eine Lehrkraft) – ein Fremdschlüssel mit </w:t>
            </w:r>
            <w:r>
              <w:rPr>
                <w:b/>
              </w:rPr>
              <w:t>einem</w:t>
            </w:r>
            <w:r>
              <w:t xml:space="preserve"> Wert passt in die Zeile.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n:m:</w:t>
            </w:r>
            <w:r>
              <w:t xml:space="preserve"> Auf </w:t>
            </w:r>
            <w:r>
              <w:rPr>
                <w:b/>
              </w:rPr>
              <w:t>keiner</w:t>
            </w:r>
            <w:r>
              <w:t xml:space="preserve"> Seite passt ein einzelner Wert: Eine KursNr-Spalte in Schueler bräuchte mehrere Werte in einer Zelle (nicht atomar) – oder die Schülerdaten würden je Kurs wiederholt (</w:t>
            </w:r>
            <w:r>
              <w:rPr>
                <w:b/>
              </w:rPr>
              <w:t>Redundanz</w:t>
            </w:r>
            <w:r>
              <w:t xml:space="preserve"> → Änderungs-, Einfüge- und Löschanomalien).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Attribute des Beziehungstyps</w:t>
            </w:r>
            <w:r>
              <w:t xml:space="preserve"> wandern mit: bei 1:n in die Relation der n-Seite (z. B. Kurs(…, </w:t>
            </w:r>
            <w:r>
              <w:rPr>
                <w:rFonts w:ascii="IBM Plex Mono" w:hAnsi="IBM Plex Mono" w:eastAsia="IBM Plex Mono" w:cs="IBM Plex Mono"/>
                <w:color w:val="B3261E"/>
              </w:rPr>
              <w:t>↑</w:t>
            </w:r>
            <w:r>
              <w:t>LehrkraftNr, LeitetSeit)), bei n:m in die neue Relation (Note in belegt).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3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Zusätzliches Schlüsselattribut bei mehrfach vorkommenden Paaren</w:t>
            </w:r>
          </w:p>
          <w:p>
            <w:pPr>
              <w:pStyle w:val="DDTabellentext"/>
              <w:spacing w:after="60"/>
            </w:pPr>
            <w:r>
              <w:t xml:space="preserve">Tennishalle (eigenes Beispiel): Spieler n – </w:t>
            </w:r>
            <w:r>
              <w:rPr>
                <w:i/>
              </w:rPr>
              <w:t>bucht</w:t>
            </w:r>
            <w:r>
              <w:t xml:space="preserve"> – m Platz mit dem Attribut Beginn. Spieler 7 bucht Platz 2 </w:t>
            </w:r>
            <w:r>
              <w:rPr>
                <w:b/>
              </w:rPr>
              <w:t>jede Woche</w:t>
            </w:r>
            <w:r>
              <w:t xml:space="preserve"> – das Paar (7, 2) kommt mehrfach vor und kann allein kein Primärschlüssel sein.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5216" w:type="dxa"/>
            </w:tblPr>
            <w:tblGrid>
              <w:gridCol w:w="1474"/>
              <w:gridCol w:w="1360"/>
              <w:gridCol w:w="2381"/>
            </w:tblGrid>
            <w:tr>
              <w:trPr>
                <w:tblHeader/>
              </w:trPr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  <w:u w:val="single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  <w:u w:val="single"/>
                    </w:rPr>
                    <w:t>SpielerNr</w:t>
                  </w:r>
                </w:p>
              </w:tc>
              <w:tc>
                <w:tcPr>
                  <w:tcW w:type="dxa" w:w="136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  <w:u w:val="single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  <w:u w:val="single"/>
                    </w:rPr>
                    <w:t>PlatzNr</w:t>
                  </w:r>
                </w:p>
              </w:tc>
              <w:tc>
                <w:tcPr>
                  <w:tcW w:type="dxa" w:w="238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  <w:u w:val="single"/>
                    </w:rPr>
                    <w:t>Beginn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7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type="dxa" w:w="238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2026-10-05 17:00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7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type="dxa" w:w="238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2026-10-12 17:00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9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type="dxa" w:w="238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2026-10-05 18:00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t>Lösung: Ein weiteres Attribut kommt in den Schlüssel – bucht(</w:t>
            </w:r>
            <w:r>
              <w:rPr>
                <w:rFonts w:ascii="IBM Plex Mono" w:hAnsi="IBM Plex Mono" w:eastAsia="IBM Plex Mono" w:cs="IBM Plex Mono"/>
                <w:color w:val="B3261E"/>
                <w:u w:val="single"/>
              </w:rPr>
              <w:t>↑</w:t>
            </w:r>
            <w:r>
              <w:rPr>
                <w:u w:val="single"/>
              </w:rPr>
              <w:t>SpielerNr</w:t>
            </w:r>
            <w:r>
              <w:t xml:space="preserve">, </w:t>
            </w:r>
            <w:r>
              <w:rPr>
                <w:rFonts w:ascii="IBM Plex Mono" w:hAnsi="IBM Plex Mono" w:eastAsia="IBM Plex Mono" w:cs="IBM Plex Mono"/>
                <w:color w:val="B3261E"/>
                <w:u w:val="single"/>
              </w:rPr>
              <w:t>↑</w:t>
            </w:r>
            <w:r>
              <w:rPr>
                <w:u w:val="single"/>
              </w:rPr>
              <w:t>PlatzNr</w:t>
            </w:r>
            <w:r>
              <w:t xml:space="preserve">, </w:t>
            </w:r>
            <w:r>
              <w:rPr>
                <w:u w:val="single"/>
              </w:rPr>
              <w:t>Beginn</w:t>
            </w:r>
            <w:r>
              <w:t>) – oder die Relation bekommt eine eigene Nummer: Buchung(</w:t>
            </w:r>
            <w:r>
              <w:rPr>
                <w:u w:val="single"/>
              </w:rPr>
              <w:t>BuchungNr</w:t>
            </w:r>
            <w:r>
              <w:t xml:space="preserve">, </w:t>
            </w:r>
            <w:r>
              <w:rPr>
                <w:rFonts w:ascii="IBM Plex Mono" w:hAnsi="IBM Plex Mono" w:eastAsia="IBM Plex Mono" w:cs="IBM Plex Mono"/>
                <w:color w:val="B3261E"/>
              </w:rPr>
              <w:t>↑</w:t>
            </w:r>
            <w:r>
              <w:t xml:space="preserve">SpielerNr, </w:t>
            </w:r>
            <w:r>
              <w:rPr>
                <w:rFonts w:ascii="IBM Plex Mono" w:hAnsi="IBM Plex Mono" w:eastAsia="IBM Plex Mono" w:cs="IBM Plex Mono"/>
                <w:color w:val="B3261E"/>
              </w:rPr>
              <w:t>↑</w:t>
            </w:r>
            <w:r>
              <w:t xml:space="preserve">PlatzNr, Beginn). Prüffrage: </w:t>
            </w:r>
            <w:r>
              <w:rPr>
                <w:i/>
              </w:rPr>
              <w:t>Kann dieselbe Kombination zweimal vorkommen?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4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Rückrichtung: vom Schema zum ER-Diagramm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t xml:space="preserve">Relation mit </w:t>
            </w:r>
            <w:r>
              <w:rPr>
                <w:b/>
              </w:rPr>
              <w:t>eigenem</w:t>
            </w:r>
            <w:r>
              <w:t xml:space="preserve"> Schlüssel → </w:t>
            </w:r>
            <w:r>
              <w:rPr>
                <w:b/>
              </w:rPr>
              <w:t>Entitätstyp</w:t>
            </w:r>
            <w:r>
              <w:t>, ihre Nicht-Fremdschlüssel-Attribute → Attribute, der Primärschlüssel → Schlüsselattribut.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Fremdschlüssel</w:t>
            </w:r>
            <w:r>
              <w:t xml:space="preserve"> in einer Entitätsrelation → Beziehungstyp </w:t>
            </w:r>
            <w:r>
              <w:rPr>
                <w:b/>
              </w:rPr>
              <w:t>1:n</w:t>
            </w:r>
            <w:r>
              <w:t xml:space="preserve"> (die Relation mit dem Fremdschlüssel ist die n-Seite); zeigt er auf die eigene Relation → </w:t>
            </w:r>
            <w:r>
              <w:rPr>
                <w:b/>
              </w:rPr>
              <w:t>rekursiv</w:t>
            </w:r>
            <w:r>
              <w:t>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t xml:space="preserve">Relation, deren Schlüssel aus </w:t>
            </w:r>
            <w:r>
              <w:rPr>
                <w:b/>
              </w:rPr>
              <w:t>zwei</w:t>
            </w:r>
            <w:r>
              <w:t xml:space="preserve"> (drei) Fremdschlüsseln besteht → </w:t>
            </w:r>
            <w:r>
              <w:rPr>
                <w:b/>
              </w:rPr>
              <w:t>n:m</w:t>
            </w:r>
            <w:r>
              <w:t xml:space="preserve"> (ternär); ihre übrigen Attribute → Attribute an der Raute.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t xml:space="preserve">Fremdschlüssel werden im ER-Diagramm </w:t>
            </w:r>
            <w:r>
              <w:rPr>
                <w:b/>
              </w:rPr>
              <w:t>keine</w:t>
            </w:r>
            <w:r>
              <w:t xml:space="preserve"> Attribute. Den Namen des Beziehungstyps (ein Verb) wählst du aus dem Sachzusammenhang.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5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Self-Join über einen rekursiven Fremdschlüssel</w:t>
            </w:r>
          </w:p>
          <w:p>
            <w:pPr>
              <w:pStyle w:val="DDTabellentext"/>
              <w:spacing w:after="60"/>
            </w:pPr>
            <w:r>
              <w:t xml:space="preserve">Wer betreut wen? Die Tabelle Ermittler wird </w:t>
            </w:r>
            <w:r>
              <w:rPr>
                <w:b/>
              </w:rPr>
              <w:t>zweimal</w:t>
            </w:r>
            <w:r>
              <w:t xml:space="preserve"> mit verschiedenen Aliasen verwendet – </w:t>
            </w:r>
            <w:r>
              <w:rPr>
                <w:rFonts w:ascii="IBM Plex Mono" w:hAnsi="IBM Plex Mono" w:eastAsia="IBM Plex Mono" w:cs="IBM Plex Mono"/>
                <w:sz w:val="19"/>
              </w:rPr>
              <w:t>e</w:t>
            </w:r>
            <w:r>
              <w:t xml:space="preserve"> für die betreute Person, </w:t>
            </w:r>
            <w:r>
              <w:rPr>
                <w:rFonts w:ascii="IBM Plex Mono" w:hAnsi="IBM Plex Mono" w:eastAsia="IBM Plex Mono" w:cs="IBM Plex Mono"/>
                <w:sz w:val="19"/>
              </w:rPr>
              <w:t>m</w:t>
            </w:r>
            <w:r>
              <w:t xml:space="preserve"> für den Mentor – und über </w:t>
            </w:r>
            <w:r>
              <w:rPr>
                <w:rFonts w:ascii="IBM Plex Mono" w:hAnsi="IBM Plex Mono" w:eastAsia="IBM Plex Mono" w:cs="IBM Plex Mono"/>
                <w:sz w:val="19"/>
              </w:rPr>
              <w:t>e.MentorNr = m.ErmittlerNr</w:t>
            </w:r>
            <w:r>
              <w:t xml:space="preserve"> verbunden:</w:t>
            </w:r>
          </w:p>
          <w:p>
            <w:pPr>
              <w:pStyle w:val="SQL-Code"/>
            </w:pPr>
            <w:r>
              <w:t>SELECT e.Name AS Ermittler, m.Name AS Mentor</w:t>
              <w:br/>
              <w:t>FROM Ermittler e, Ermittler m</w:t>
              <w:br/>
              <w:t>WHERE e.MentorNr = m.ErmittlerNr</w:t>
              <w:br/>
              <w:t>ORDER BY m.Name, e.Name;</w:t>
            </w:r>
          </w:p>
          <w:tbl>
            <w:tblPr>
              <w:tblStyle w:val="Ergebnistabelle"/>
              <w:jc w:val="left"/>
              <w:tblLayout w:type="fixed"/>
              <w:tblLook w:firstColumn="1" w:firstRow="1" w:lastColumn="0" w:lastRow="0" w:noHBand="0" w:noVBand="1" w:val="04A0"/>
              <w:tblW w:w="3855" w:type="dxa"/>
            </w:tblPr>
            <w:tblGrid>
              <w:gridCol w:w="1927"/>
              <w:gridCol w:w="1927"/>
            </w:tblGrid>
            <w:tr>
              <w:trPr>
                <w:tblHeader/>
              </w:trPr>
              <w:tc>
                <w:tcPr>
                  <w:tcW w:type="dxa" w:w="192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Ermittler</w:t>
                  </w:r>
                </w:p>
              </w:tc>
              <w:tc>
                <w:tcPr>
                  <w:tcW w:type="dxa" w:w="192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Mentor</w:t>
                  </w:r>
                </w:p>
              </w:tc>
            </w:tr>
            <w:tr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Helge Saathoff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Edda Lorenz</w:t>
                  </w:r>
                </w:p>
              </w:tc>
            </w:tr>
            <w:tr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Juri Brandes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Edda Lorenz</w:t>
                  </w:r>
                </w:p>
              </w:tc>
            </w:tr>
            <w:tr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Maren Kolthoff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Edda Lorenz</w:t>
                  </w:r>
                </w:p>
              </w:tc>
            </w:tr>
            <w:tr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Deniz Akgül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Helge Saathoff</w:t>
                  </w:r>
                </w:p>
              </w:tc>
            </w:tr>
            <w:tr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Svea Hinners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Helge Saathoff</w:t>
                  </w:r>
                </w:p>
              </w:tc>
            </w:tr>
            <w:tr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…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…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t xml:space="preserve">(10 Zeilen.) Edda Lorenz und Ulf Witte fehlen als „Ermittler“: Ihre MentorNr ist NULL, der Vergleich ist nie wahr. Ohne Aliase wäre </w:t>
            </w:r>
            <w:r>
              <w:rPr>
                <w:rFonts w:ascii="IBM Plex Mono" w:hAnsi="IBM Plex Mono" w:eastAsia="IBM Plex Mono" w:cs="IBM Plex Mono"/>
                <w:sz w:val="19"/>
              </w:rPr>
              <w:t>Name</w:t>
            </w:r>
            <w:r>
              <w:t xml:space="preserve"> mehrdeutig (P7).</w:t>
            </w:r>
          </w:p>
        </w:tc>
      </w:tr>
    </w:tbl>
    <w:p>
      <w:pPr>
        <w:spacing w:after="0" w:line="160" w:lineRule="exact"/>
      </w:pPr>
    </w:p>
    <w:p>
      <w:pPr>
        <w:pStyle w:val="Heading2"/>
      </w:pPr>
      <w:r>
        <w:t>Ermittlungsaufträge</w:t>
      </w:r>
    </w:p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567"/>
        <w:gridCol w:w="963"/>
        <w:gridCol w:w="963"/>
        <w:gridCol w:w="7144"/>
      </w:tblGrid>
      <w:tr>
        <w:trPr>
          <w:tblHeader/>
        </w:trPr>
        <w:tc>
          <w:tcPr>
            <w:tcW w:type="dxa" w:w="567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NR.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STUFE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ORT</w:t>
            </w:r>
          </w:p>
        </w:tc>
        <w:tc>
          <w:tcPr>
            <w:tcW w:type="dxa" w:w="714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AUFTRAG</w:t>
            </w: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1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b/>
              </w:rPr>
              <w:t>Erstelle</w:t>
            </w:r>
            <w:r>
              <w:t xml:space="preserve"> zu dem ER-Modell das Relationenschema in Kurzschreibweise.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40000" cy="81458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r_14034085646913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0000" cy="8145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spacing w:after="100"/>
                  </w:pPr>
                  <w:r>
                    <w:rPr>
                      <w:rFonts w:ascii="IBM Plex Mono" w:hAnsi="IBM Plex Mono" w:eastAsia="IBM Plex Mono" w:cs="IBM Plex Mono"/>
                      <w:sz w:val="18"/>
                    </w:rPr>
                    <w:t>Fall(</w:t>
                  </w:r>
                  <w:r>
                    <w:rPr>
                      <w:rFonts w:ascii="IBM Plex Mono" w:hAnsi="IBM Plex Mono" w:eastAsia="IBM Plex Mono" w:cs="IBM Plex Mono"/>
                      <w:sz w:val="18"/>
                      <w:u w:val="single"/>
                    </w:rPr>
                    <w:t>FallNr</w:t>
                  </w:r>
                  <w:r>
                    <w:rPr>
                      <w:rFonts w:ascii="IBM Plex Mono" w:hAnsi="IBM Plex Mono" w:eastAsia="IBM Plex Mono" w:cs="IBM Plex Mono"/>
                      <w:sz w:val="18"/>
                    </w:rPr>
                    <w:t>, Titel, Eroeffnet, Status)</w:t>
                  </w:r>
                </w:p>
                <w:p>
                  <w:pPr>
                    <w:spacing w:after="100"/>
                  </w:pPr>
                  <w:r>
                    <w:rPr>
                      <w:rFonts w:ascii="IBM Plex Mono" w:hAnsi="IBM Plex Mono" w:eastAsia="IBM Plex Mono" w:cs="IBM Plex Mono"/>
                      <w:sz w:val="18"/>
                    </w:rPr>
                    <w:t>Ort(</w:t>
                  </w:r>
                  <w:r>
                    <w:rPr>
                      <w:rFonts w:ascii="IBM Plex Mono" w:hAnsi="IBM Plex Mono" w:eastAsia="IBM Plex Mono" w:cs="IBM Plex Mono"/>
                      <w:sz w:val="18"/>
                      <w:u w:val="single"/>
                    </w:rPr>
                    <w:t>OrtNr</w:t>
                  </w:r>
                  <w:r>
                    <w:rPr>
                      <w:rFonts w:ascii="IBM Plex Mono" w:hAnsi="IBM Plex Mono" w:eastAsia="IBM Plex Mono" w:cs="IBM Plex Mono"/>
                      <w:sz w:val="18"/>
                    </w:rPr>
                    <w:t>, Bezeichnung, Stadtteil)</w:t>
                  </w:r>
                </w:p>
                <w:p>
                  <w:pPr>
                    <w:spacing w:after="100"/>
                  </w:pPr>
                  <w:r>
                    <w:rPr>
                      <w:rFonts w:ascii="IBM Plex Mono" w:hAnsi="IBM Plex Mono" w:eastAsia="IBM Plex Mono" w:cs="IBM Plex Mono"/>
                      <w:sz w:val="18"/>
                    </w:rPr>
                    <w:t>Beweisstueck(</w:t>
                  </w:r>
                  <w:r>
                    <w:rPr>
                      <w:rFonts w:ascii="IBM Plex Mono" w:hAnsi="IBM Plex Mono" w:eastAsia="IBM Plex Mono" w:cs="IBM Plex Mono"/>
                      <w:sz w:val="18"/>
                      <w:u w:val="single"/>
                    </w:rPr>
                    <w:t>BeweisNr</w:t>
                  </w:r>
                  <w:r>
                    <w:rPr>
                      <w:rFonts w:ascii="IBM Plex Mono" w:hAnsi="IBM Plex Mono" w:eastAsia="IBM Plex Mono" w:cs="IBM Plex Mono"/>
                      <w:sz w:val="18"/>
                    </w:rPr>
                    <w:t xml:space="preserve">, Bezeichnung,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  <w:sz w:val="18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sz w:val="18"/>
                    </w:rPr>
                    <w:t xml:space="preserve">FallNr,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  <w:sz w:val="18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sz w:val="18"/>
                    </w:rPr>
                    <w:t>OrtNr)</w:t>
                  </w:r>
                </w:p>
                <w:p>
                  <w:pPr>
                    <w:pStyle w:val="DDTabellentext"/>
                    <w:spacing w:after="60"/>
                  </w:pPr>
                  <w:r>
                    <w:t>Beide Beziehungstypen sind 1:n mit Beweisstueck auf der n-Seite → beide Fremdschlüssel in Beweisstueck (R2).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P9</w:t>
                  </w:r>
                  <w:r>
                    <w:t xml:space="preserve">  BeweisNr als Fremdschlüssel in Fall bzw. Ort – dann bräuchte ein Fall mehrere Werte in einer Zelle.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P9</w:t>
                  </w:r>
                  <w:r>
                    <w:t xml:space="preserve">  Eigene Relationen gehoertZu/gefundenAn – bei 1:n überflüssig (kein Fehler im Sinne der Daten, aber nicht die Regel).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2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b/>
              </w:rPr>
              <w:t>Erstelle</w:t>
            </w:r>
            <w:r>
              <w:rPr>
                <w:b w:val="0"/>
              </w:rPr>
              <w:t xml:space="preserve"> die Relationen zu</w:t>
            </w:r>
            <w:r>
              <w:t xml:space="preserve"> </w:t>
            </w:r>
            <w:r>
              <w:rPr>
                <w:i/>
              </w:rPr>
              <w:t>verdaechtig</w:t>
            </w:r>
            <w:r>
              <w:t xml:space="preserve"> und </w:t>
            </w:r>
            <w:r>
              <w:rPr>
                <w:i/>
              </w:rPr>
              <w:t>kennt</w:t>
            </w:r>
            <w:r>
              <w:t xml:space="preserve"> (Person und Fall gibt es schon) und </w:t>
            </w:r>
            <w:r>
              <w:rPr>
                <w:b/>
              </w:rPr>
              <w:t>begründe</w:t>
            </w:r>
            <w:r>
              <w:t xml:space="preserve"> deine Wahl der Primärschlüssel.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40000" cy="184838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r_14034085646140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0000" cy="18483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spacing w:after="100"/>
                  </w:pPr>
                  <w:r>
                    <w:rPr>
                      <w:rFonts w:ascii="IBM Plex Mono" w:hAnsi="IBM Plex Mono" w:eastAsia="IBM Plex Mono" w:cs="IBM Plex Mono"/>
                      <w:sz w:val="18"/>
                    </w:rPr>
                    <w:t>verdaechtig(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  <w:sz w:val="18"/>
                      <w:u w:val="single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sz w:val="18"/>
                      <w:u w:val="single"/>
                    </w:rPr>
                    <w:t>PersonNr</w:t>
                  </w:r>
                  <w:r>
                    <w:rPr>
                      <w:rFonts w:ascii="IBM Plex Mono" w:hAnsi="IBM Plex Mono" w:eastAsia="IBM Plex Mono" w:cs="IBM Plex Mono"/>
                      <w:sz w:val="18"/>
                    </w:rPr>
                    <w:t xml:space="preserve">,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  <w:sz w:val="18"/>
                      <w:u w:val="single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sz w:val="18"/>
                      <w:u w:val="single"/>
                    </w:rPr>
                    <w:t>FallNr</w:t>
                  </w:r>
                  <w:r>
                    <w:rPr>
                      <w:rFonts w:ascii="IBM Plex Mono" w:hAnsi="IBM Plex Mono" w:eastAsia="IBM Plex Mono" w:cs="IBM Plex Mono"/>
                      <w:sz w:val="18"/>
                    </w:rPr>
                    <w:t>, Grad)</w:t>
                  </w:r>
                </w:p>
                <w:p>
                  <w:pPr>
                    <w:spacing w:after="100"/>
                  </w:pPr>
                  <w:r>
                    <w:rPr>
                      <w:rFonts w:ascii="IBM Plex Mono" w:hAnsi="IBM Plex Mono" w:eastAsia="IBM Plex Mono" w:cs="IBM Plex Mono"/>
                      <w:sz w:val="18"/>
                    </w:rPr>
                    <w:t>kennt(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  <w:sz w:val="18"/>
                      <w:u w:val="single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sz w:val="18"/>
                      <w:u w:val="single"/>
                    </w:rPr>
                    <w:t>PersonNr</w:t>
                  </w:r>
                  <w:r>
                    <w:rPr>
                      <w:rFonts w:ascii="IBM Plex Mono" w:hAnsi="IBM Plex Mono" w:eastAsia="IBM Plex Mono" w:cs="IBM Plex Mono"/>
                      <w:sz w:val="18"/>
                    </w:rPr>
                    <w:t xml:space="preserve">,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  <w:sz w:val="18"/>
                      <w:u w:val="single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sz w:val="18"/>
                      <w:u w:val="single"/>
                    </w:rPr>
                    <w:t>BekannterNr</w:t>
                  </w:r>
                  <w:r>
                    <w:rPr>
                      <w:rFonts w:ascii="IBM Plex Mono" w:hAnsi="IBM Plex Mono" w:eastAsia="IBM Plex Mono" w:cs="IBM Plex Mono"/>
                      <w:sz w:val="18"/>
                    </w:rPr>
                    <w:t>, Seit)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Beide sind n:m → eigene Relationen (R3, bei </w:t>
                  </w:r>
                  <w:r>
                    <w:rPr>
                      <w:i/>
                    </w:rPr>
                    <w:t>kennt</w:t>
                  </w:r>
                  <w:r>
                    <w:t xml:space="preserve"> rekursiv: R5). Eine Person ist in einem Fall nur </w:t>
                  </w:r>
                  <w:r>
                    <w:rPr>
                      <w:b/>
                    </w:rPr>
                    <w:t>einmal</w:t>
                  </w:r>
                  <w:r>
                    <w:t xml:space="preserve"> verdächtig und zwei Personen kennen sich nur </w:t>
                  </w:r>
                  <w:r>
                    <w:rPr>
                      <w:b/>
                    </w:rPr>
                    <w:t>einmal</w:t>
                  </w:r>
                  <w:r>
                    <w:t xml:space="preserve"> → das Paar der Fremdschlüssel ist eindeutig und minimal; einzeln wäre keiner eindeutig. BekannterNr ist nach der Rolle benannt, weil PersonNr nicht zweimal vorkommen darf; beide verweisen auf Person.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P9</w:t>
                  </w:r>
                  <w:r>
                    <w:t xml:space="preserve">  kennt(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  <w:u w:val="single"/>
                    </w:rPr>
                    <w:t>↑</w:t>
                  </w:r>
                  <w:r>
                    <w:rPr>
                      <w:u w:val="single"/>
                    </w:rPr>
                    <w:t>PersonNr</w:t>
                  </w:r>
                  <w:r>
                    <w:t xml:space="preserve">,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</w:rPr>
                    <w:t>↑</w:t>
                  </w:r>
                  <w:r>
                    <w:t>PersonNr, Seit) – gleicher Name zweimal, Schlüssel nur halb.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P9</w:t>
                  </w:r>
                  <w:r>
                    <w:t xml:space="preserve">  Grad in Person oder Fall statt in verdaechtig.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3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b/>
              </w:rPr>
              <w:t>Erstelle</w:t>
            </w:r>
            <w:r>
              <w:t xml:space="preserve"> aus dem Relationenschema einer Stadtbücherei das zugehörige ER-Diagramm (Entitätstypen, Beziehungstypen mit Kardinalitäten, Attribute).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Leser(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LeserNr</w:t>
            </w:r>
            <w:r>
              <w:rPr>
                <w:rFonts w:ascii="IBM Plex Mono" w:hAnsi="IBM Plex Mono" w:eastAsia="IBM Plex Mono" w:cs="IBM Plex Mono"/>
                <w:sz w:val="18"/>
              </w:rPr>
              <w:t>, Name, Jahrgang)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Autor(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AutorNr</w:t>
            </w:r>
            <w:r>
              <w:rPr>
                <w:rFonts w:ascii="IBM Plex Mono" w:hAnsi="IBM Plex Mono" w:eastAsia="IBM Plex Mono" w:cs="IBM Plex Mono"/>
                <w:sz w:val="18"/>
              </w:rPr>
              <w:t>, Name)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Buch(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BuchNr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, Titel, Erscheinungsjahr,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>AutorNr)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leiht(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  <w:u w:val="single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LeserNr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  <w:u w:val="single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BuchNr</w:t>
            </w:r>
            <w:r>
              <w:rPr>
                <w:rFonts w:ascii="IBM Plex Mono" w:hAnsi="IBM Plex Mono" w:eastAsia="IBM Plex Mono" w:cs="IBM Plex Mono"/>
                <w:sz w:val="18"/>
              </w:rPr>
              <w:t>, Rueckgabe)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852130" cy="978021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r_140340856460736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52130" cy="978021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Leser, Buch, Autor haben eigene Schlüssel → Entitätstypen. AutorNr in Buch → </w:t>
                  </w:r>
                  <w:r>
                    <w:rPr>
                      <w:i/>
                    </w:rPr>
                    <w:t>verfasst</w:t>
                  </w:r>
                  <w:r>
                    <w:t xml:space="preserve"> 1:n (Buch auf der n-Seite). leiht hat einen Schlüssel aus zwei Fremdschlüsseln → n:m, Rueckgabe an der Raute. (Der Name des Beziehungstyps ist frei wählbar, z. B. </w:t>
                  </w:r>
                  <w:r>
                    <w:rPr>
                      <w:i/>
                    </w:rPr>
                    <w:t>schreibt</w:t>
                  </w:r>
                  <w:r>
                    <w:t>.)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P9</w:t>
                  </w:r>
                  <w:r>
                    <w:t xml:space="preserve">  AutorNr als Attribut von Buch eingezeichnet – Fremdschlüssel werden Beziehungen.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P9</w:t>
                  </w:r>
                  <w:r>
                    <w:t xml:space="preserve">  leiht als Entitätstyp mit Kanten 1:n – nur als „aufgelöste Zwischenentität“ gleichwertig, in der Abiturnotation erwartet: n:m.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4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FFFFFF"/>
                <w:sz w:val="15"/>
                <w:shd w:val="clear" w:color="auto" w:fill="2C5A85"/>
              </w:rPr>
              <w:t xml:space="preserve"> LAB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>Gib in der Konsole alle Fälle mit FallNr, Titel und dem Namen der leitenden Ermittlerin bzw. des leitenden Ermittlers aus (Fremdschlüssel LeiterNr), sortiert nach FallNr.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SQL-Code"/>
                  </w:pPr>
                  <w:r>
                    <w:t>SELECT Fall.FallNr, Fall.Titel, Ermittler.Name</w:t>
                    <w:br/>
                    <w:t>FROM Fall, Ermittler</w:t>
                    <w:br/>
                    <w:t>WHERE Fall.LeiterNr = Ermittler.ErmittlerNr</w:t>
                    <w:br/>
                    <w:t>ORDER BY Fall.FallNr;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5896" w:type="dxa"/>
                  </w:tblPr>
                  <w:tblGrid>
                    <w:gridCol w:w="1020"/>
                    <w:gridCol w:w="2948"/>
                    <w:gridCol w:w="1927"/>
                  </w:tblGrid>
                  <w:tr>
                    <w:trPr>
                      <w:tblHeader/>
                    </w:trPr>
                    <w:tc>
                      <w:tcPr>
                        <w:tcW w:type="dxa" w:w="1020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FallNr</w:t>
                        </w:r>
                      </w:p>
                    </w:tc>
                    <w:tc>
                      <w:tcPr>
                        <w:tcW w:type="dxa" w:w="2948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Titel</w:t>
                        </w:r>
                      </w:p>
                    </w:tc>
                    <w:tc>
                      <w:tcPr>
                        <w:tcW w:type="dxa" w:w="1928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Name</w:t>
                        </w:r>
                      </w:p>
                    </w:tc>
                  </w:tr>
                  <w:tr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</w:t>
                        </w:r>
                      </w:p>
                    </w:tc>
                    <w:tc>
                      <w:tcPr>
                        <w:tcW w:type="dxa" w:w="294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Das Fundbüro</w:t>
                        </w:r>
                      </w:p>
                    </w:tc>
                    <w:tc>
                      <w:tcPr>
                        <w:tcW w:type="dxa" w:w="192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Maren Kolthoff</w:t>
                        </w:r>
                      </w:p>
                    </w:tc>
                  </w:tr>
                  <w:tr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2</w:t>
                        </w:r>
                      </w:p>
                    </w:tc>
                    <w:tc>
                      <w:tcPr>
                        <w:tcW w:type="dxa" w:w="294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Spur der Räder</w:t>
                        </w:r>
                      </w:p>
                    </w:tc>
                    <w:tc>
                      <w:tcPr>
                        <w:tcW w:type="dxa" w:w="192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Helge Saathoff</w:t>
                        </w:r>
                      </w:p>
                    </w:tc>
                  </w:tr>
                  <w:tr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3</w:t>
                        </w:r>
                      </w:p>
                    </w:tc>
                    <w:tc>
                      <w:tcPr>
                        <w:tcW w:type="dxa" w:w="294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Die Stadtfest-Kasse</w:t>
                        </w:r>
                      </w:p>
                    </w:tc>
                    <w:tc>
                      <w:tcPr>
                        <w:tcW w:type="dxa" w:w="192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Maren Kolthoff</w:t>
                        </w:r>
                      </w:p>
                    </w:tc>
                  </w:tr>
                  <w:tr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</w:t>
                        </w:r>
                      </w:p>
                    </w:tc>
                    <w:tc>
                      <w:tcPr>
                        <w:tcW w:type="dxa" w:w="294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Chaos im Vereinsarchiv</w:t>
                        </w:r>
                      </w:p>
                    </w:tc>
                    <w:tc>
                      <w:tcPr>
                        <w:tcW w:type="dxa" w:w="192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Edda Lorenz</w:t>
                        </w:r>
                      </w:p>
                    </w:tc>
                  </w:tr>
                  <w:tr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5</w:t>
                        </w:r>
                      </w:p>
                    </w:tc>
                    <w:tc>
                      <w:tcPr>
                        <w:tcW w:type="dxa" w:w="294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Die vertauschten Koffer</w:t>
                        </w:r>
                      </w:p>
                    </w:tc>
                    <w:tc>
                      <w:tcPr>
                        <w:tcW w:type="dxa" w:w="192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Helge Saathoff</w:t>
                        </w:r>
                      </w:p>
                    </w:tc>
                  </w:tr>
                  <w:tr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…</w:t>
                        </w:r>
                      </w:p>
                    </w:tc>
                    <w:tc>
                      <w:tcPr>
                        <w:tcW w:type="dxa" w:w="294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…</w:t>
                        </w:r>
                      </w:p>
                    </w:tc>
                    <w:tc>
                      <w:tcPr>
                        <w:tcW w:type="dxa" w:w="192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…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  <w:spacing w:after="60"/>
                  </w:pPr>
                  <w:r>
                    <w:t>(12 Zeilen, gekürzt.)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P2</w:t>
                  </w:r>
                  <w:r>
                    <w:t xml:space="preserve">  Verbundbedingung vergessen – 12 · 12 = 144 Zeilen, jeder Fall mit jedem Ermittler.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P7</w:t>
                  </w:r>
                  <w:r>
                    <w:t xml:space="preserve"> 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Fall.LeiterNr = Ermittler.LeiterNr</w:t>
                  </w:r>
                  <w:r>
                    <w:t xml:space="preserve"> – die Spalte heißt in Ermittler ErmittlerNr.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5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Juri setzt </w:t>
            </w:r>
            <w:r>
              <w:rPr>
                <w:i/>
              </w:rPr>
              <w:t>verdaechtig</w:t>
            </w:r>
            <w:r>
              <w:t xml:space="preserve"> „sparsam“ um. Trage Lasse Engelken (Person 42, Weserufer, verdächtig in Fall 1 und Fall 3, jeweils gering) und Jarne Kampen (Person 41, Hafenviertel, Fall 2, gering) in Juris Schema ein. </w:t>
            </w:r>
            <w:r>
              <w:rPr>
                <w:b/>
              </w:rPr>
              <w:t>Begründe</w:t>
            </w:r>
            <w:r>
              <w:t xml:space="preserve"> an deinen Zeilen, warum das Schema die Beziehung nicht korrekt umsetzt, und nenne zwei Anomalien.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Person(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PersonNr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, Vorname, Nachname, Stadtteil,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>FallNr, Grad)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tbl>
                  <w:tblPr>
                    <w:tblStyle w:val="Datentabelle"/>
                    <w:jc w:val="left"/>
                    <w:tblLayout w:type="fixed"/>
                    <w:tblLook w:firstColumn="1" w:firstRow="1" w:lastColumn="0" w:lastRow="0" w:noHBand="0" w:noVBand="1" w:val="04A0"/>
                    <w:tblW w:w="6123" w:type="dxa"/>
                  </w:tblPr>
                  <w:tblGrid>
                    <w:gridCol w:w="1020"/>
                    <w:gridCol w:w="907"/>
                    <w:gridCol w:w="1190"/>
                    <w:gridCol w:w="1360"/>
                    <w:gridCol w:w="793"/>
                    <w:gridCol w:w="850"/>
                  </w:tblGrid>
                  <w:tr>
                    <w:trPr>
                      <w:tblHeader/>
                    </w:trPr>
                    <w:tc>
                      <w:tcPr>
                        <w:tcW w:type="dxa" w:w="1020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PersonNr</w:t>
                        </w:r>
                      </w:p>
                    </w:tc>
                    <w:tc>
                      <w:tcPr>
                        <w:tcW w:type="dxa" w:w="907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Vorname</w:t>
                        </w:r>
                      </w:p>
                    </w:tc>
                    <w:tc>
                      <w:tcPr>
                        <w:tcW w:type="dxa" w:w="1191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Nachname</w:t>
                        </w:r>
                      </w:p>
                    </w:tc>
                    <w:tc>
                      <w:tcPr>
                        <w:tcW w:type="dxa" w:w="1361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Stadtteil</w:t>
                        </w:r>
                      </w:p>
                    </w:tc>
                    <w:tc>
                      <w:tcPr>
                        <w:tcW w:type="dxa" w:w="79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FallNr</w:t>
                        </w:r>
                      </w:p>
                    </w:tc>
                    <w:tc>
                      <w:tcPr>
                        <w:tcW w:type="dxa" w:w="850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Grad</w:t>
                        </w:r>
                      </w:p>
                    </w:tc>
                  </w:tr>
                  <w:tr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42</w:t>
                        </w:r>
                      </w:p>
                    </w:tc>
                    <w:tc>
                      <w:tcPr>
                        <w:tcW w:type="dxa" w:w="90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Lasse</w:t>
                        </w:r>
                      </w:p>
                    </w:tc>
                    <w:tc>
                      <w:tcPr>
                        <w:tcW w:type="dxa" w:w="119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Engelken</w:t>
                        </w:r>
                      </w:p>
                    </w:tc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Weserufer</w:t>
                        </w:r>
                      </w:p>
                    </w:tc>
                    <w:tc>
                      <w:tcPr>
                        <w:tcW w:type="dxa" w:w="79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</w:t>
                        </w:r>
                      </w:p>
                    </w:tc>
                    <w:tc>
                      <w:tcPr>
                        <w:tcW w:type="dxa" w:w="85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gering</w:t>
                        </w:r>
                      </w:p>
                    </w:tc>
                  </w:tr>
                  <w:tr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42</w:t>
                        </w:r>
                      </w:p>
                    </w:tc>
                    <w:tc>
                      <w:tcPr>
                        <w:tcW w:type="dxa" w:w="90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Lasse</w:t>
                        </w:r>
                      </w:p>
                    </w:tc>
                    <w:tc>
                      <w:tcPr>
                        <w:tcW w:type="dxa" w:w="119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Engelken</w:t>
                        </w:r>
                      </w:p>
                    </w:tc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Weserufer</w:t>
                        </w:r>
                      </w:p>
                    </w:tc>
                    <w:tc>
                      <w:tcPr>
                        <w:tcW w:type="dxa" w:w="79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3</w:t>
                        </w:r>
                      </w:p>
                    </w:tc>
                    <w:tc>
                      <w:tcPr>
                        <w:tcW w:type="dxa" w:w="85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gering</w:t>
                        </w:r>
                      </w:p>
                    </w:tc>
                  </w:tr>
                  <w:tr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41</w:t>
                        </w:r>
                      </w:p>
                    </w:tc>
                    <w:tc>
                      <w:tcPr>
                        <w:tcW w:type="dxa" w:w="90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Jarne</w:t>
                        </w:r>
                      </w:p>
                    </w:tc>
                    <w:tc>
                      <w:tcPr>
                        <w:tcW w:type="dxa" w:w="119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Kampen</w:t>
                        </w:r>
                      </w:p>
                    </w:tc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Hafenviertel</w:t>
                        </w:r>
                      </w:p>
                    </w:tc>
                    <w:tc>
                      <w:tcPr>
                        <w:tcW w:type="dxa" w:w="79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2</w:t>
                        </w:r>
                      </w:p>
                    </w:tc>
                    <w:tc>
                      <w:tcPr>
                        <w:tcW w:type="dxa" w:w="85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gering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  <w:spacing w:after="60"/>
                  </w:pPr>
                  <w:r>
                    <w:t>Lasse braucht zwei Zeilen: PersonNr 42 ist nicht mehr eindeutig (Primärschlüssel verletzt) – oder FallNr müsste „1, 3“ enthalten (nicht atomar). Die Personendaten stehen doppelt (Redundanz).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Änderungsanomalie:</w:t>
                  </w:r>
                  <w:r>
                    <w:t xml:space="preserve"> Zieht Lasse um, muss Stadtteil in allen seinen Zeilen geändert werden, sonst widersprechen sich die Daten. </w:t>
                  </w:r>
                  <w:r>
                    <w:rPr>
                      <w:b/>
                    </w:rPr>
                    <w:t>Löschanomalie:</w:t>
                  </w:r>
                  <w:r>
                    <w:t xml:space="preserve"> Wird der Verdacht in Fall 2 aufgehoben und die Zeile gelöscht, ist Jarne Kampen ganz verschwunden. </w:t>
                  </w:r>
                  <w:r>
                    <w:rPr>
                      <w:b/>
                    </w:rPr>
                    <w:t>Einfügeanomalie:</w:t>
                  </w:r>
                  <w:r>
                    <w:t xml:space="preserve"> Eine Person ohne Verdacht lässt sich nur mit FallNr NULL speichern.</w:t>
                  </w:r>
                </w:p>
                <w:p>
                  <w:pPr>
                    <w:pStyle w:val="DDTabellentext"/>
                    <w:spacing w:after="60"/>
                  </w:pPr>
                  <w:r>
                    <w:t>Korrekt: verdaechtig(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  <w:u w:val="single"/>
                    </w:rPr>
                    <w:t>↑</w:t>
                  </w:r>
                  <w:r>
                    <w:rPr>
                      <w:u w:val="single"/>
                    </w:rPr>
                    <w:t>PersonNr</w:t>
                  </w:r>
                  <w:r>
                    <w:t xml:space="preserve">,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  <w:u w:val="single"/>
                    </w:rPr>
                    <w:t>↑</w:t>
                  </w:r>
                  <w:r>
                    <w:rPr>
                      <w:u w:val="single"/>
                    </w:rPr>
                    <w:t>FallNr</w:t>
                  </w:r>
                  <w:r>
                    <w:t>, Grad) – R3.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P10</w:t>
                  </w:r>
                  <w:r>
                    <w:t xml:space="preserve">  Nur „Redundanz“ genannt, ohne Bezug auf die eingetragenen Zeilen.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12" w:space="0" w:color="B3261E"/>
              <w:left w:val="single" w:sz="12" w:space="0" w:color="B3261E"/>
              <w:bottom w:val="single" w:sz="12" w:space="0" w:color="B3261E"/>
              <w:right w:val="single" w:sz="12" w:space="0" w:color="B3261E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ABI-ECKE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Im Stil des Abiturs (Operator überführen (erstellen) / begründen, AFB II/III)</w:t>
            </w:r>
          </w:p>
          <w:p>
            <w:pPr>
              <w:pStyle w:val="DDTabellentext"/>
            </w:pPr>
            <w:r>
              <w:t xml:space="preserve">Gegeben ist das ER-Modell einer Erweiterung der Fall-Datenbank. </w:t>
            </w:r>
            <w:r>
              <w:rPr>
                <w:b/>
              </w:rPr>
              <w:t>Erstellen</w:t>
            </w:r>
            <w:r>
              <w:t xml:space="preserve"> Sie zu dem Modell das Relationenschema in Kurzschreibweise und </w:t>
            </w:r>
            <w:r>
              <w:rPr>
                <w:b/>
              </w:rPr>
              <w:t>begründen</w:t>
            </w:r>
            <w:r>
              <w:t xml:space="preserve"> Sie die Umsetzung des Beziehungstyps </w:t>
            </w:r>
            <w:r>
              <w:rPr>
                <w:i/>
              </w:rPr>
              <w:t>arbeitetMitAn</w:t>
            </w:r>
            <w:r>
              <w:t>. [5 BE]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40000" cy="198979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r_14034085646913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0000" cy="19897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8845" w:type="dxa"/>
            </w:tblPr>
            <w:tblGrid>
              <w:gridCol w:w="8845"/>
            </w:tblGrid>
            <w:tr>
              <w:tc>
                <w:tcPr>
                  <w:tcW w:type="dxa" w:w="8844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spacing w:after="100"/>
                  </w:pPr>
                  <w:r>
                    <w:rPr>
                      <w:rFonts w:ascii="IBM Plex Mono" w:hAnsi="IBM Plex Mono" w:eastAsia="IBM Plex Mono" w:cs="IBM Plex Mono"/>
                      <w:sz w:val="18"/>
                    </w:rPr>
                    <w:t>Ermittler(</w:t>
                  </w:r>
                  <w:r>
                    <w:rPr>
                      <w:rFonts w:ascii="IBM Plex Mono" w:hAnsi="IBM Plex Mono" w:eastAsia="IBM Plex Mono" w:cs="IBM Plex Mono"/>
                      <w:sz w:val="18"/>
                      <w:u w:val="single"/>
                    </w:rPr>
                    <w:t>ErmittlerNr</w:t>
                  </w:r>
                  <w:r>
                    <w:rPr>
                      <w:rFonts w:ascii="IBM Plex Mono" w:hAnsi="IBM Plex Mono" w:eastAsia="IBM Plex Mono" w:cs="IBM Plex Mono"/>
                      <w:sz w:val="18"/>
                    </w:rPr>
                    <w:t xml:space="preserve">, Name, Dienstgrad,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  <w:sz w:val="18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sz w:val="18"/>
                    </w:rPr>
                    <w:t>VertretungNr)</w:t>
                  </w:r>
                </w:p>
                <w:p>
                  <w:pPr>
                    <w:spacing w:after="100"/>
                  </w:pPr>
                  <w:r>
                    <w:rPr>
                      <w:rFonts w:ascii="IBM Plex Mono" w:hAnsi="IBM Plex Mono" w:eastAsia="IBM Plex Mono" w:cs="IBM Plex Mono"/>
                      <w:sz w:val="18"/>
                    </w:rPr>
                    <w:t>Fall(</w:t>
                  </w:r>
                  <w:r>
                    <w:rPr>
                      <w:rFonts w:ascii="IBM Plex Mono" w:hAnsi="IBM Plex Mono" w:eastAsia="IBM Plex Mono" w:cs="IBM Plex Mono"/>
                      <w:sz w:val="18"/>
                      <w:u w:val="single"/>
                    </w:rPr>
                    <w:t>FallNr</w:t>
                  </w:r>
                  <w:r>
                    <w:rPr>
                      <w:rFonts w:ascii="IBM Plex Mono" w:hAnsi="IBM Plex Mono" w:eastAsia="IBM Plex Mono" w:cs="IBM Plex Mono"/>
                      <w:sz w:val="18"/>
                    </w:rPr>
                    <w:t xml:space="preserve">, Titel, Eroeffnet,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  <w:sz w:val="18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sz w:val="18"/>
                    </w:rPr>
                    <w:t>LeiterNr)</w:t>
                  </w:r>
                </w:p>
                <w:p>
                  <w:pPr>
                    <w:spacing w:after="100"/>
                  </w:pPr>
                  <w:r>
                    <w:rPr>
                      <w:rFonts w:ascii="IBM Plex Mono" w:hAnsi="IBM Plex Mono" w:eastAsia="IBM Plex Mono" w:cs="IBM Plex Mono"/>
                      <w:sz w:val="18"/>
                    </w:rPr>
                    <w:t>arbeitetMitAn(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  <w:sz w:val="18"/>
                      <w:u w:val="single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sz w:val="18"/>
                      <w:u w:val="single"/>
                    </w:rPr>
                    <w:t>ErmittlerNr</w:t>
                  </w:r>
                  <w:r>
                    <w:rPr>
                      <w:rFonts w:ascii="IBM Plex Mono" w:hAnsi="IBM Plex Mono" w:eastAsia="IBM Plex Mono" w:cs="IBM Plex Mono"/>
                      <w:sz w:val="18"/>
                    </w:rPr>
                    <w:t xml:space="preserve">,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  <w:sz w:val="18"/>
                      <w:u w:val="single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sz w:val="18"/>
                      <w:u w:val="single"/>
                    </w:rPr>
                    <w:t>FallNr</w:t>
                  </w:r>
                  <w:r>
                    <w:rPr>
                      <w:rFonts w:ascii="IBM Plex Mono" w:hAnsi="IBM Plex Mono" w:eastAsia="IBM Plex Mono" w:cs="IBM Plex Mono"/>
                      <w:sz w:val="18"/>
                    </w:rPr>
                    <w:t>, Rolle)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Begründung:</w:t>
                  </w:r>
                  <w:r>
                    <w:t xml:space="preserve"> </w:t>
                  </w:r>
                  <w:r>
                    <w:rPr>
                      <w:i/>
                    </w:rPr>
                    <w:t>arbeitetMitAn</w:t>
                  </w:r>
                  <w:r>
                    <w:t xml:space="preserve"> ist n:m – ein Ermittler arbeitet an mehreren Fällen mit, an einem Fall arbeiten mehrere mit. In Ermittler oder Fall passte kein einzelner Wert (mehrere Werte je Zelle bzw. wiederholte Zeilen → Anomalien), daher eigene Relation; das Paar ist Primärschlüssel, Rolle hängt vom Paar ab und steht deshalb dort.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Bewertung:</w:t>
                  </w:r>
                  <w:r>
                    <w:t xml:space="preserve"> Ermittler mit rekursivem Fremdschlüssel (Rollenname) </w:t>
                  </w:r>
                  <w:r>
                    <w:rPr>
                      <w:b/>
                    </w:rPr>
                    <w:t>(1 BE)</w:t>
                  </w:r>
                  <w:r>
                    <w:t xml:space="preserve">, Fall mit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</w:rPr>
                    <w:t>↑</w:t>
                  </w:r>
                  <w:r>
                    <w:t xml:space="preserve">LeiterNr </w:t>
                  </w:r>
                  <w:r>
                    <w:rPr>
                      <w:b/>
                    </w:rPr>
                    <w:t>(1 BE)</w:t>
                  </w:r>
                  <w:r>
                    <w:t xml:space="preserve">, arbeitetMitAn mit zusammengesetztem Schlüssel und Rolle </w:t>
                  </w:r>
                  <w:r>
                    <w:rPr>
                      <w:b/>
                    </w:rPr>
                    <w:t>(1 BE)</w:t>
                  </w:r>
                  <w:r>
                    <w:t xml:space="preserve">, Begründung </w:t>
                  </w:r>
                  <w:r>
                    <w:rPr>
                      <w:b/>
                    </w:rPr>
                    <w:t>(2 BE)</w:t>
                  </w:r>
                  <w:r>
                    <w:t>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P9</w:t>
                  </w:r>
                  <w:r>
                    <w:t xml:space="preserve">  Rolle in Ermittler;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</w:rPr>
                    <w:t>↑</w:t>
                  </w:r>
                  <w:r>
                    <w:t>FallNr in Ermittler für arbeitetMitAn.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P9</w:t>
                  </w:r>
                  <w:r>
                    <w:t xml:space="preserve">  Rekursiver Fremdschlüssel als zweites „ErmittlerNr“ benannt.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P10</w:t>
                  </w:r>
                  <w:r>
                    <w:t xml:space="preserve">  Begründung ohne Sachzusammenhang („weil n:m eine Tabelle braucht“).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tcBorders>
              <w:top w:val="single" w:sz="6" w:space="0" w:color="2C5A85"/>
              <w:left w:val="single" w:sz="6" w:space="0" w:color="2C5A85"/>
              <w:bottom w:val="single" w:sz="6" w:space="0" w:color="2C5A85"/>
              <w:right w:val="single" w:sz="6" w:space="0" w:color="2C5A85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SPUR IM LAB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Ermittlung 5.3 „Vom Plan zur Datenbank“</w:t>
            </w:r>
          </w:p>
          <w:p>
            <w:pPr>
              <w:pStyle w:val="DDTabellentext"/>
            </w:pPr>
            <w:r>
              <w:rPr>
                <w:b/>
              </w:rPr>
              <w:t>Aufgaben:</w:t>
            </w:r>
            <w:r>
              <w:t xml:space="preserve"> A5-E3-01 … A5-E3-08, danach Verhör 5 · Kletterhalle (20 Minuten)  ·  </w:t>
            </w:r>
            <w:r>
              <w:rPr>
                <w:b/>
              </w:rPr>
              <w:t>Werkzeug:</w:t>
            </w:r>
            <w:r>
              <w:t xml:space="preserve"> Schema-Werkbank, Bauplan-Tisch (Rückrichtung), Konsole auf der Fall-Datenbank</w:t>
            </w:r>
          </w:p>
          <w:p>
            <w:pPr>
              <w:pStyle w:val="DDTabellentext"/>
            </w:pPr>
            <w:r>
              <w:t>A5-E3-08 fragt die Fall-Datenbank, wen Nora Falter kennt (Self-Join). Cold Case im Lab: A5-E3-CC „Mentor-Kette“.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dashed" w:sz="8" w:space="0" w:color="58626D"/>
              <w:left w:val="dashed" w:sz="8" w:space="0" w:color="58626D"/>
              <w:bottom w:val="dashed" w:sz="8" w:space="0" w:color="58626D"/>
              <w:right w:val="dashed" w:sz="8" w:space="0" w:color="58626D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COLD CASE · OHNE PUNKTE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Mentor-Kette</w:t>
            </w:r>
          </w:p>
          <w:p>
            <w:pPr>
              <w:pStyle w:val="DDTabellentext"/>
            </w:pPr>
            <w:r>
              <w:t>Gib zu jedem Ermittler den Namen des Mentors und den Namen des Mentors des Mentors aus. Begründe, welche Ermittler in deinem Ergebnis fehlen und warum.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8845" w:type="dxa"/>
            </w:tblPr>
            <w:tblGrid>
              <w:gridCol w:w="8845"/>
            </w:tblGrid>
            <w:tr>
              <w:tc>
                <w:tcPr>
                  <w:tcW w:type="dxa" w:w="8844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SQL-Code"/>
                  </w:pPr>
                  <w:r>
                    <w:t>SELECT e.Name AS Ermittler, m.Name AS Mentor, mm.Name AS MentorDesMentors</w:t>
                    <w:br/>
                    <w:t>FROM Ermittler e, Ermittler m, Ermittler mm</w:t>
                    <w:br/>
                    <w:t>WHERE e.MentorNr = m.ErmittlerNr</w:t>
                    <w:br/>
                    <w:t xml:space="preserve">  AND m.MentorNr = mm.ErmittlerNr</w:t>
                    <w:br/>
                    <w:t>ORDER BY e.Name;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6010" w:type="dxa"/>
                  </w:tblPr>
                  <w:tblGrid>
                    <w:gridCol w:w="1927"/>
                    <w:gridCol w:w="1927"/>
                    <w:gridCol w:w="2154"/>
                  </w:tblGrid>
                  <w:tr>
                    <w:trPr>
                      <w:tblHeader/>
                    </w:trPr>
                    <w:tc>
                      <w:tcPr>
                        <w:tcW w:type="dxa" w:w="1928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Ermittler</w:t>
                        </w:r>
                      </w:p>
                    </w:tc>
                    <w:tc>
                      <w:tcPr>
                        <w:tcW w:type="dxa" w:w="1928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Mentor</w:t>
                        </w:r>
                      </w:p>
                    </w:tc>
                    <w:tc>
                      <w:tcPr>
                        <w:tcW w:type="dxa" w:w="215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MentorDesMentors</w:t>
                        </w:r>
                      </w:p>
                    </w:tc>
                  </w:tr>
                  <w:tr>
                    <w:tc>
                      <w:tcPr>
                        <w:tcW w:type="dxa" w:w="192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Deniz Akgül</w:t>
                        </w:r>
                      </w:p>
                    </w:tc>
                    <w:tc>
                      <w:tcPr>
                        <w:tcW w:type="dxa" w:w="192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Helge Saathoff</w:t>
                        </w:r>
                      </w:p>
                    </w:tc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Edda Lorenz</w:t>
                        </w:r>
                      </w:p>
                    </w:tc>
                  </w:tr>
                  <w:tr>
                    <w:tc>
                      <w:tcPr>
                        <w:tcW w:type="dxa" w:w="192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Imke Tiemann</w:t>
                        </w:r>
                      </w:p>
                    </w:tc>
                    <w:tc>
                      <w:tcPr>
                        <w:tcW w:type="dxa" w:w="192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Maren Kolthoff</w:t>
                        </w:r>
                      </w:p>
                    </w:tc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Edda Lorenz</w:t>
                        </w:r>
                      </w:p>
                    </w:tc>
                  </w:tr>
                  <w:tr>
                    <w:tc>
                      <w:tcPr>
                        <w:tcW w:type="dxa" w:w="192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Jannik Rippen</w:t>
                        </w:r>
                      </w:p>
                    </w:tc>
                    <w:tc>
                      <w:tcPr>
                        <w:tcW w:type="dxa" w:w="192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Maren Kolthoff</w:t>
                        </w:r>
                      </w:p>
                    </w:tc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Edda Lorenz</w:t>
                        </w:r>
                      </w:p>
                    </w:tc>
                  </w:tr>
                  <w:tr>
                    <w:tc>
                      <w:tcPr>
                        <w:tcW w:type="dxa" w:w="192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Lotta Wehrhahn</w:t>
                        </w:r>
                      </w:p>
                    </w:tc>
                    <w:tc>
                      <w:tcPr>
                        <w:tcW w:type="dxa" w:w="192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Imke Tiemann</w:t>
                        </w:r>
                      </w:p>
                    </w:tc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Maren Kolthoff</w:t>
                        </w:r>
                      </w:p>
                    </w:tc>
                  </w:tr>
                  <w:tr>
                    <w:tc>
                      <w:tcPr>
                        <w:tcW w:type="dxa" w:w="192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Rasmus Uphoff</w:t>
                        </w:r>
                      </w:p>
                    </w:tc>
                    <w:tc>
                      <w:tcPr>
                        <w:tcW w:type="dxa" w:w="192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Svea Hinners</w:t>
                        </w:r>
                      </w:p>
                    </w:tc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Helge Saathoff</w:t>
                        </w:r>
                      </w:p>
                    </w:tc>
                  </w:tr>
                  <w:tr>
                    <w:tc>
                      <w:tcPr>
                        <w:tcW w:type="dxa" w:w="192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Smilla Döscher</w:t>
                        </w:r>
                      </w:p>
                    </w:tc>
                    <w:tc>
                      <w:tcPr>
                        <w:tcW w:type="dxa" w:w="192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Imke Tiemann</w:t>
                        </w:r>
                      </w:p>
                    </w:tc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Maren Kolthoff</w:t>
                        </w:r>
                      </w:p>
                    </w:tc>
                  </w:tr>
                  <w:tr>
                    <w:tc>
                      <w:tcPr>
                        <w:tcW w:type="dxa" w:w="192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Svea Hinners</w:t>
                        </w:r>
                      </w:p>
                    </w:tc>
                    <w:tc>
                      <w:tcPr>
                        <w:tcW w:type="dxa" w:w="192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Helge Saathoff</w:t>
                        </w:r>
                      </w:p>
                    </w:tc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Edda Lorenz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  <w:spacing w:after="60"/>
                  </w:pPr>
                  <w:r>
                    <w:t xml:space="preserve">Ermittler wird </w:t>
                  </w:r>
                  <w:r>
                    <w:rPr>
                      <w:b/>
                    </w:rPr>
                    <w:t>dreimal</w:t>
                  </w:r>
                  <w:r>
                    <w:t xml:space="preserve"> mit Alias verwendet. Es fehlen Edda Lorenz und Ulf Witte (kein Mentor, MentorNr NULL) sowie Juri Brandes, Maren Kolthoff und Helge Saathoff: Ihr Mentor Edda Lorenz hat selbst keinen Mentor – der zweite Vergleich ist nie wahr.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134" w:bottom="90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819" w:val="center"/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AB 5.3</w:t>
      <w:tab/>
    </w:r>
    <w:r>
      <w:rPr>
        <w:rFonts w:ascii="IBM Plex Mono" w:hAnsi="IBM Plex Mono" w:eastAsia="IBM Plex Mono" w:cs="IBM Plex Mono"/>
        <w:b/>
        <w:color w:val="B3261E"/>
        <w:sz w:val="12"/>
        <w:spacing w:val="12"/>
      </w:rPr>
      <w:t>NUR LEHRKRAFT · LÖSUNG</w:t>
    </w:r>
    <w:r>
      <w:rPr>
        <w:rFonts w:ascii="IBM Plex Mono" w:hAnsi="IBM Plex Mono" w:eastAsia="IBM Plex Mono" w:cs="IBM Plex Mono"/>
        <w:color w:val="58626D"/>
        <w:sz w:val="14"/>
        <w:spacing w:val="16"/>
      </w:rPr>
      <w:tab/>
      <w:t xml:space="preserve">Seite </w:t>
    </w:r>
    <w:fldSimple w:instr="PAGE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  <w:r>
      <w:rPr>
        <w:rFonts w:ascii="IBM Plex Mono" w:hAnsi="IBM Plex Mono" w:eastAsia="IBM Plex Mono" w:cs="IBM Plex Mono"/>
        <w:color w:val="58626D"/>
        <w:sz w:val="14"/>
        <w:spacing w:val="16"/>
      </w:rPr>
      <w:t xml:space="preserve"> von </w:t>
    </w:r>
    <w:fldSimple w:instr="NUMPAGES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DATENDETEKTEI WESERSTEDT</w:t>
      <w:tab/>
      <w:t>AKTE 5 · DER BAUPLAN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Barlow" w:hAnsi="Barlow" w:eastAsia="Barlow" w:cs="Barlo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Barlow" w:hAnsi="Barlow" w:eastAsia="Barlow" w:cs="Barlow"/>
      <w:color w:val="1C2B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  <w:pBdr>
        <w:left w:val="single" w:sz="24" w:space="6" w:color="B3261E"/>
      </w:pBdr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Barlow Condensed SemiBold" w:hAnsi="Barlow Condensed SemiBold" w:eastAsia="Barlow Condensed SemiBold" w:cs="Barlow Condensed SemiBold"/>
      <w:b w:val="0"/>
      <w:i w:val="0"/>
      <w:color w:val="1C2B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QL-Code">
    <w:name w:val="SQL-Code"/>
    <w:basedOn w:val="Normal"/>
    <w:pPr>
      <w:keepLines/>
      <w:spacing w:before="60" w:after="100" w:line="240" w:lineRule="auto"/>
      <w:ind w:left="85" w:right="85"/>
      <w:pBdr>
        <w:top w:val="single" w:sz="8" w:space="4" w:color="ECEAE5"/>
        <w:left w:val="single" w:sz="8" w:space="4" w:color="ECEAE5"/>
        <w:bottom w:val="single" w:sz="8" w:space="4" w:color="ECEAE5"/>
        <w:right w:val="single" w:sz="8" w:space="4" w:color="ECEAE5"/>
      </w:pBdr>
      <w:shd w:val="clear" w:color="auto" w:fill="ECEAE5"/>
    </w:pPr>
    <w:rPr>
      <w:rFonts w:ascii="IBM Plex Mono" w:hAnsi="IBM Plex Mono" w:eastAsia="IBM Plex Mono" w:cs="IBM Plex Mono"/>
      <w:color w:val="1C2B3A"/>
      <w:sz w:val="18"/>
    </w:rPr>
  </w:style>
  <w:style w:type="table" w:customStyle="1" w:styleId="Ergebnistabelle">
    <w:name w:val="Ergebnistabelle"/>
    <w:basedOn w:val="TableGrid"/>
    <w:rPr>
      <w:sz w:val="18"/>
    </w:rPr>
  </w:style>
  <w:style w:type="table" w:customStyle="1" w:styleId="Datentabelle">
    <w:name w:val="Datentabelle"/>
    <w:basedOn w:val="TableGrid"/>
    <w:rPr>
      <w:sz w:val="18"/>
    </w:rPr>
  </w:style>
  <w:style w:type="paragraph" w:customStyle="1" w:styleId="DDTabellentext">
    <w:name w:val="DD Tabellentext"/>
    <w:basedOn w:val="Normal"/>
    <w:pPr>
      <w:spacing w:after="20" w:before="20" w:line="240" w:lineRule="auto"/>
    </w:pPr>
    <w:rPr>
      <w:sz w:val="19"/>
    </w:rPr>
  </w:style>
  <w:style w:type="paragraph" w:customStyle="1" w:styleId="DDSchreiblinie">
    <w:name w:val="DD Schreiblinie"/>
    <w:basedOn w:val="Normal"/>
    <w:pPr>
      <w:spacing w:before="220" w:after="0"/>
    </w:pPr>
    <w:rPr>
      <w:color w:val="8F8270"/>
    </w:rPr>
  </w:style>
  <w:style w:type="paragraph" w:customStyle="1" w:styleId="DDAbstand">
    <w:name w:val="DD Abstand"/>
    <w:basedOn w:val="Normal"/>
    <w:pPr>
      <w:spacing w:before="0" w:after="0" w:line="80" w:lineRule="exact"/>
    </w:pPr>
    <w:rPr>
      <w:sz w:val="4"/>
    </w:rPr>
  </w:style>
  <w:style w:type="paragraph" w:customStyle="1" w:styleId="DDFall-Einstieg">
    <w:name w:val="DD Fall-Einstieg"/>
    <w:basedOn w:val="Normal"/>
    <w:pPr>
      <w:spacing w:before="120" w:after="160"/>
      <w:ind w:left="198"/>
      <w:pBdr>
        <w:left w:val="single" w:sz="24" w:space="8" w:color="B3261E"/>
      </w:pBdr>
    </w:pPr>
    <w:rPr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Vom Plan zur Datenbank</dc:title>
  <dc:subject>Der Bauplan</dc:subject>
  <dc:creator>Datendetektei Weserstedt</dc:creator>
  <cp:keywords>Datendetektei; Datenbanken; Informatik</cp:keywords>
  <dc:description/>
  <cp:lastModifiedBy>Datendetektei Weserstedt</cp:lastModifiedBy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D-Akte">
    <vt:lpwstr>5</vt:lpwstr>
  </property>
  <property fmtid="{D5CDD505-2E9C-101B-9397-08002B2CF9AE}" pid="3" name="DD-Art">
    <vt:lpwstr>ab</vt:lpwstr>
  </property>
  <property fmtid="{D5CDD505-2E9C-101B-9397-08002B2CF9AE}" pid="4" name="DD-Datenbank">
    <vt:lpwstr>detektei</vt:lpwstr>
  </property>
  <property fmtid="{D5CDD505-2E9C-101B-9397-08002B2CF9AE}" pid="5" name="DD-Fassung">
    <vt:lpwstr>loesung</vt:lpwstr>
  </property>
  <property fmtid="{D5CDD505-2E9C-101B-9397-08002B2CF9AE}" pid="6" name="DD-Kompetenzen">
    <vt:lpwstr>{"AB 5.3/1": ["DB-K41", "DB-K04"], "AB 5.3/2": ["DB-K41", "DB-K42"], "AB 5.3/3": ["DB-K43"], "AB 5.3/4": ["DB-K23", "DB-K03"], "AB 5.3/5": ["DB-K42", "DB-K08"], "AB 5.3/Abi-Ecke": ["DB-K41", "DB-K42"], "AB 5.3/Cold Case": ["DB-K24"]}</vt:lpwstr>
  </property>
  <property fmtid="{D5CDD505-2E9C-101B-9397-08002B2CF9AE}" pid="7" name="DD-Kuer">
    <vt:lpwstr>nein</vt:lpwstr>
  </property>
  <property fmtid="{D5CDD505-2E9C-101B-9397-08002B2CF9AE}" pid="8" name="DD-Material">
    <vt:lpwstr>AB 5.3</vt:lpwstr>
  </property>
</Properties>
</file>