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ERHÖHTES ANFORDERUNGSNIVEAU (EA)</w:t>
            </w:r>
          </w:p>
          <w:p>
            <w:pPr>
              <w:pStyle w:val="DDTabellentext"/>
            </w:pPr>
            <w:r>
              <w:rPr>
                <w:rFonts w:ascii="Barlow Condensed SemiBold" w:hAnsi="Barlow Condensed SemiBold" w:eastAsia="Barlow Condensed SemiBold" w:cs="Barlow Condensed SemiBold"/>
                <w:sz w:val="38"/>
              </w:rPr>
              <w:t>Generalprobe Datenbanken (eA)</w:t>
            </w:r>
          </w:p>
          <w:p>
            <w:pPr>
              <w:pStyle w:val="DDTabellentext"/>
            </w:pPr>
            <w:r>
              <w:rPr>
                <w:color w:val="46525E"/>
              </w:rPr>
              <w:t>Die Ermittlerprüfung · Kontext: Mensa-Vorbestellsystem</w:t>
            </w:r>
          </w:p>
          <w:p>
            <w:pPr>
              <w:pStyle w:val="DDTabellentext"/>
            </w:pPr>
            <w:r>
              <w:rPr>
                <w:color w:val="46525E"/>
                <w:sz w:val="18"/>
              </w:rPr>
              <w:t>Bearbeitungszeit: 70 Minuten · Hilfsmittel: Operatorenübersicht · Gesamt: 30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tabs>
                <w:tab w:pos="2665" w:val="left" w:leader="dot"/>
              </w:tabs>
              <w:spacing w:before="160"/>
            </w:pPr>
            <w:r>
              <w:rPr>
                <w:rFonts w:ascii="IBM Plex Mono" w:hAnsi="IBM Plex Mono" w:eastAsia="IBM Plex Mono" w:cs="IBM Plex Mono"/>
                <w:color w:val="58626D"/>
                <w:sz w:val="14"/>
                <w:spacing w:val="16"/>
              </w:rPr>
              <w:t>NAME</w:t>
              <w:tab/>
              <w:t>​</w:t>
            </w:r>
          </w:p>
          <w:p>
            <w:pPr>
              <w:pStyle w:val="DDTabellentext"/>
              <w:tabs>
                <w:tab w:pos="2665" w:val="left" w:leader="dot"/>
              </w:tabs>
              <w:spacing w:before="160"/>
            </w:pPr>
            <w:r>
              <w:rPr>
                <w:rFonts w:ascii="IBM Plex Mono" w:hAnsi="IBM Plex Mono" w:eastAsia="IBM Plex Mono" w:cs="IBM Plex Mono"/>
                <w:color w:val="58626D"/>
                <w:sz w:val="14"/>
                <w:spacing w:val="16"/>
              </w:rPr>
              <w:t>DATUM</w:t>
              <w:tab/>
              <w:t>​</w:t>
            </w:r>
          </w:p>
        </w:tc>
      </w:tr>
    </w:tbl>
    <w:p>
      <w:pPr>
        <w:spacing w:after="0" w:line="160" w:lineRule="exact"/>
      </w:pPr>
    </w:p>
    <w:p>
      <w:r>
        <w:t>Bearbeiten Sie die Aufgaben auf gesondertem Papier und schreiben Sie auf jedem Blatt Ihren Namen (bei der Generalprobe Ihre Ermittlernummer). Die Bewertungseinheiten (BE) stehen hinter jeder Teilaufgabe.</w:t>
      </w:r>
    </w:p>
    <w:p>
      <w:r>
        <w:t xml:space="preserve">Die Mensa einer Gesamtschule lässt Schülerinnen, Schüler und Beschäftigte ihr Mittagessen online vorbestellen. Jedes Gericht kann an mehreren Tagen angeboten werden; eine Bestellung bezieht sich immer auf ein Tagesangebot. Im Attribut Portionen eines Angebots steht die Zahl der </w:t>
      </w:r>
      <w:r>
        <w:rPr>
          <w:b/>
        </w:rPr>
        <w:t>geplanten</w:t>
      </w:r>
      <w:r>
        <w:t xml:space="preserve"> Portionen; die </w:t>
      </w:r>
      <w:r>
        <w:rPr>
          <w:b/>
        </w:rPr>
        <w:t>bestellten</w:t>
      </w:r>
      <w:r>
        <w:t xml:space="preserve"> Portionen ergeben sich aus den Mengen der Bestellungen. Abgeholt enthält die Uhrzeit der Ausgabe und ist NULL, wenn das Essen nicht abgeholt wurde. Küchenkräfte bereiten die Tagesangebote zu. Eine Person darf dasselbe Tagesangebot auch mehrfach bestellen (z. B. für einen Gast).</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Person(</w:t>
            </w:r>
            <w:r>
              <w:rPr>
                <w:rFonts w:ascii="IBM Plex Mono" w:hAnsi="IBM Plex Mono" w:eastAsia="IBM Plex Mono" w:cs="IBM Plex Mono"/>
                <w:sz w:val="18"/>
                <w:u w:val="single"/>
              </w:rPr>
              <w:t>PersonNr</w:t>
            </w:r>
            <w:r>
              <w:rPr>
                <w:rFonts w:ascii="IBM Plex Mono" w:hAnsi="IBM Plex Mono" w:eastAsia="IBM Plex Mono" w:cs="IBM Plex Mono"/>
                <w:sz w:val="18"/>
              </w:rPr>
              <w:t>, Vorname, Nachname, Rolle, Klasse)</w:t>
            </w:r>
          </w:p>
          <w:p>
            <w:pPr>
              <w:spacing w:after="100"/>
            </w:pPr>
            <w:r>
              <w:rPr>
                <w:rFonts w:ascii="IBM Plex Mono" w:hAnsi="IBM Plex Mono" w:eastAsia="IBM Plex Mono" w:cs="IBM Plex Mono"/>
                <w:sz w:val="18"/>
              </w:rPr>
              <w:t>Gericht(</w:t>
            </w:r>
            <w:r>
              <w:rPr>
                <w:rFonts w:ascii="IBM Plex Mono" w:hAnsi="IBM Plex Mono" w:eastAsia="IBM Plex Mono" w:cs="IBM Plex Mono"/>
                <w:sz w:val="18"/>
                <w:u w:val="single"/>
              </w:rPr>
              <w:t>GerichtNr</w:t>
            </w:r>
            <w:r>
              <w:rPr>
                <w:rFonts w:ascii="IBM Plex Mono" w:hAnsi="IBM Plex Mono" w:eastAsia="IBM Plex Mono" w:cs="IBM Plex Mono"/>
                <w:sz w:val="18"/>
              </w:rPr>
              <w:t>, Bezeichnung, Kategorie, Preis, Vegetarisch)</w:t>
            </w:r>
          </w:p>
          <w:p>
            <w:pPr>
              <w:spacing w:after="100"/>
            </w:pPr>
            <w:r>
              <w:rPr>
                <w:rFonts w:ascii="IBM Plex Mono" w:hAnsi="IBM Plex Mono" w:eastAsia="IBM Plex Mono" w:cs="IBM Plex Mono"/>
                <w:sz w:val="18"/>
              </w:rPr>
              <w:t>Angebot(</w:t>
            </w:r>
            <w:r>
              <w:rPr>
                <w:rFonts w:ascii="IBM Plex Mono" w:hAnsi="IBM Plex Mono" w:eastAsia="IBM Plex Mono" w:cs="IBM Plex Mono"/>
                <w:sz w:val="18"/>
                <w:u w:val="single"/>
              </w:rPr>
              <w:t>AngebotNr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GerichtNr, Datum, Portionen)</w:t>
            </w:r>
          </w:p>
          <w:p>
            <w:pPr>
              <w:spacing w:after="100"/>
            </w:pPr>
            <w:r>
              <w:rPr>
                <w:rFonts w:ascii="IBM Plex Mono" w:hAnsi="IBM Plex Mono" w:eastAsia="IBM Plex Mono" w:cs="IBM Plex Mono"/>
                <w:sz w:val="18"/>
              </w:rPr>
              <w:t>Bestellung(</w:t>
            </w:r>
            <w:r>
              <w:rPr>
                <w:rFonts w:ascii="IBM Plex Mono" w:hAnsi="IBM Plex Mono" w:eastAsia="IBM Plex Mono" w:cs="IBM Plex Mono"/>
                <w:sz w:val="18"/>
                <w:u w:val="single"/>
              </w:rPr>
              <w:t>BestellNr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PersonNr, </w:t>
            </w:r>
            <w:r>
              <w:rPr>
                <w:rFonts w:ascii="IBM Plex Mono" w:hAnsi="IBM Plex Mono" w:eastAsia="IBM Plex Mono" w:cs="IBM Plex Mono"/>
                <w:color w:val="B3261E"/>
                <w:sz w:val="18"/>
              </w:rPr>
              <w:t>↑</w:t>
            </w:r>
            <w:r>
              <w:rPr>
                <w:rFonts w:ascii="IBM Plex Mono" w:hAnsi="IBM Plex Mono" w:eastAsia="IBM Plex Mono" w:cs="IBM Plex Mono"/>
                <w:sz w:val="18"/>
              </w:rPr>
              <w:t>AngebotNr, Menge, Abgeholt)</w:t>
            </w:r>
          </w:p>
          <w:p>
            <w:pPr>
              <w:spacing w:after="100"/>
            </w:pPr>
            <w:r>
              <w:rPr>
                <w:rFonts w:ascii="IBM Plex Mono" w:hAnsi="IBM Plex Mono" w:eastAsia="IBM Plex Mono" w:cs="IBM Plex Mono"/>
                <w:sz w:val="18"/>
              </w:rPr>
              <w:t>Kuechenkraft(</w:t>
            </w:r>
            <w:r>
              <w:rPr>
                <w:rFonts w:ascii="IBM Plex Mono" w:hAnsi="IBM Plex Mono" w:eastAsia="IBM Plex Mono" w:cs="IBM Plex Mono"/>
                <w:sz w:val="18"/>
                <w:u w:val="single"/>
              </w:rPr>
              <w:t>KraftNr</w:t>
            </w:r>
            <w:r>
              <w:rPr>
                <w:rFonts w:ascii="IBM Plex Mono" w:hAnsi="IBM Plex Mono" w:eastAsia="IBM Plex Mono" w:cs="IBM Plex Mono"/>
                <w:sz w:val="18"/>
              </w:rPr>
              <w:t>, Vorname, Nachname)</w:t>
            </w:r>
          </w:p>
          <w:p>
            <w:pPr>
              <w:spacing w:after="100"/>
            </w:pPr>
            <w:r>
              <w:rPr>
                <w:rFonts w:ascii="IBM Plex Mono" w:hAnsi="IBM Plex Mono" w:eastAsia="IBM Plex Mono" w:cs="IBM Plex Mono"/>
                <w:sz w:val="18"/>
              </w:rPr>
              <w:t>bereitetZu(</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KraftNr,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AngebotNr</w:t>
            </w:r>
            <w:r>
              <w:rPr>
                <w:rFonts w:ascii="IBM Plex Mono" w:hAnsi="IBM Plex Mono" w:eastAsia="IBM Plex Mono" w:cs="IBM Plex Mono"/>
                <w:sz w:val="18"/>
              </w:rPr>
              <w:t>)</w:t>
            </w:r>
          </w:p>
          <w:p>
            <w:pPr>
              <w:pStyle w:val="DDTabellentext"/>
              <w:spacing w:after="60"/>
            </w:pPr>
            <w:r>
              <w:t>Rolle: 'Schüler', 'Lehrkraft' oder 'Personal' (Klasse nur bei Schülerinnen und Schülern, sonst NULL) · Vegetarisch: 'ja'/'nein' · Preis in Euro · Datum im Format 'JJJJ-MM-TT', Abgeholt im Format 'hh:mm'.</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w:t>
            </w:r>
          </w:p>
          <w:p>
            <w:pPr>
              <w:pStyle w:val="DDTabellentext"/>
              <w:spacing w:after="60"/>
            </w:pPr>
            <w:r>
              <w:rPr>
                <w:b/>
              </w:rPr>
              <w:t>Person</w:t>
            </w:r>
          </w:p>
          <w:tbl>
            <w:tblPr>
              <w:tblStyle w:val="Datentabelle"/>
              <w:jc w:val="left"/>
              <w:tblLayout w:type="fixed"/>
              <w:tblLook w:firstColumn="1" w:firstRow="1" w:lastColumn="0" w:lastRow="0" w:noHBand="0" w:noVBand="1" w:val="04A0"/>
              <w:tblW w:w="6123" w:type="dxa"/>
            </w:tblPr>
            <w:tblGrid>
              <w:gridCol w:w="1247"/>
              <w:gridCol w:w="1134"/>
              <w:gridCol w:w="1360"/>
              <w:gridCol w:w="1360"/>
              <w:gridCol w:w="102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PersonNr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Vorname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Arne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Demir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5c</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Insa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Gerdts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Ida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Eggers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8b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Ole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Lindemann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Dana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Eggers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Lehrkraft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Gericht</w:t>
            </w:r>
          </w:p>
          <w:tbl>
            <w:tblPr>
              <w:tblStyle w:val="Datentabelle"/>
              <w:jc w:val="left"/>
              <w:tblLayout w:type="fixed"/>
              <w:tblLook w:firstColumn="1" w:firstRow="1" w:lastColumn="0" w:lastRow="0" w:noHBand="0" w:noVBand="1" w:val="04A0"/>
              <w:tblW w:w="8505" w:type="dxa"/>
            </w:tblPr>
            <w:tblGrid>
              <w:gridCol w:w="1360"/>
              <w:gridCol w:w="2948"/>
              <w:gridCol w:w="1701"/>
              <w:gridCol w:w="907"/>
              <w:gridCol w:w="158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GerichtNr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Kategorie</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Preis</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Vegetarisch</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Gemüselasagne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4,00</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Hähnchen-Curry mit Reis</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4,75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nein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Käsespätzle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Chili sin Carne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3,50</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Tomatensuppe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Suppe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Schokopudding</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Dessert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 (Fortsetzung)</w:t>
            </w:r>
          </w:p>
          <w:p>
            <w:pPr>
              <w:pStyle w:val="DDTabellentext"/>
              <w:spacing w:after="60"/>
            </w:pPr>
            <w:r>
              <w:rPr>
                <w:b/>
              </w:rPr>
              <w:t>Angebot</w:t>
            </w:r>
          </w:p>
          <w:tbl>
            <w:tblPr>
              <w:tblStyle w:val="Datentabelle"/>
              <w:jc w:val="left"/>
              <w:tblLayout w:type="fixed"/>
              <w:tblLook w:firstColumn="1" w:firstRow="1" w:lastColumn="0" w:lastRow="0" w:noHBand="0" w:noVBand="1" w:val="04A0"/>
              <w:tblW w:w="5556" w:type="dxa"/>
            </w:tblPr>
            <w:tblGrid>
              <w:gridCol w:w="1360"/>
              <w:gridCol w:w="1360"/>
              <w:gridCol w:w="1474"/>
              <w:gridCol w:w="1360"/>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AngebotNr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GerichtNr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Portionen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10</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Bestellung</w:t>
            </w:r>
          </w:p>
          <w:tbl>
            <w:tblPr>
              <w:tblStyle w:val="Datentabelle"/>
              <w:jc w:val="left"/>
              <w:tblLayout w:type="fixed"/>
              <w:tblLook w:firstColumn="1" w:firstRow="1" w:lastColumn="0" w:lastRow="0" w:noHBand="0" w:noVBand="1" w:val="04A0"/>
              <w:tblW w:w="6123" w:type="dxa"/>
            </w:tblPr>
            <w:tblGrid>
              <w:gridCol w:w="1360"/>
              <w:gridCol w:w="1247"/>
              <w:gridCol w:w="1360"/>
              <w:gridCol w:w="907"/>
              <w:gridCol w:w="124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BestellNr</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PersonNr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AngebotNr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Menge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Abgeholt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202</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203</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13:11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204</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11:58</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205</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13:01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207</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12:35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208</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30</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209</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13:30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210</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12:39</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12:48</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3 · Tabelle BestellUebersicht</w:t>
            </w:r>
          </w:p>
          <w:p>
            <w:pPr>
              <w:pStyle w:val="DDTabellentext"/>
              <w:spacing w:after="60"/>
            </w:pPr>
            <w:r>
              <w:t>Bevor es das Vorbestellsystem gab, führte die Mensa eine einzige Tabelle. Der folgende Ausschnitt enthält alle Bestellungen vom 16.03.2027:</w:t>
            </w:r>
          </w:p>
          <w:tbl>
            <w:tblPr>
              <w:tblStyle w:val="Datentabelle"/>
              <w:jc w:val="left"/>
              <w:tblLayout w:type="fixed"/>
              <w:tblLook w:firstColumn="1" w:firstRow="1" w:lastColumn="0" w:lastRow="0" w:noHBand="0" w:noVBand="1" w:val="04A0"/>
              <w:tblW w:w="9412" w:type="dxa"/>
            </w:tblPr>
            <w:tblGrid>
              <w:gridCol w:w="1134"/>
              <w:gridCol w:w="1020"/>
              <w:gridCol w:w="1644"/>
              <w:gridCol w:w="793"/>
              <w:gridCol w:w="1247"/>
              <w:gridCol w:w="2097"/>
              <w:gridCol w:w="680"/>
              <w:gridCol w:w="793"/>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BestellNr</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PersonNr</w:t>
                  </w:r>
                </w:p>
              </w:tc>
              <w:tc>
                <w:tcPr>
                  <w:tcW w:type="dxa" w:w="164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Name</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Klasse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Datum</w:t>
                  </w:r>
                </w:p>
              </w:tc>
              <w:tc>
                <w:tcPr>
                  <w:tcW w:type="dxa" w:w="209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Gericht</w:t>
                  </w:r>
                </w:p>
              </w:tc>
              <w:tc>
                <w:tcPr>
                  <w:tcW w:type="dxa" w:w="68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Preis</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Menge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202</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9</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Hilke Akgül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203</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Nele Döscher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204</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Arne Demir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205</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8b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206</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14</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Insa Gerdts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207</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Dana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4"/>
                    </w:rPr>
                    <w:t>NULL</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208</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30</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Ole Lindemann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209</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Arne Demir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210</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31</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Jannik Dirksen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7c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211</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8</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Karla Siemers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212</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28</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Taalke Bargmann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213</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Pia Fehrmann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214</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14</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Insa Gerdts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215</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Clara Pundt</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216</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8b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3,25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217</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33</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Bultjer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4"/>
                    </w:rPr>
                    <w:t>NULL</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Tomatensuppe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2,25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ER-Modell (Ausschnitt)</w:t>
            </w:r>
          </w:p>
          <w:p>
            <w:pPr>
              <w:jc w:val="center"/>
            </w:pPr>
            <w:r>
              <w:drawing>
                <wp:inline xmlns:a="http://schemas.openxmlformats.org/drawingml/2006/main" xmlns:pic="http://schemas.openxmlformats.org/drawingml/2006/picture">
                  <wp:extent cx="5760130" cy="2454020"/>
                  <wp:docPr id="1" name="Picture 1"/>
                  <wp:cNvGraphicFramePr>
                    <a:graphicFrameLocks noChangeAspect="1"/>
                  </wp:cNvGraphicFramePr>
                  <a:graphic>
                    <a:graphicData uri="http://schemas.openxmlformats.org/drawingml/2006/picture">
                      <pic:pic>
                        <pic:nvPicPr>
                          <pic:cNvPr id="0" name="er_140496738602192.png"/>
                          <pic:cNvPicPr/>
                        </pic:nvPicPr>
                        <pic:blipFill>
                          <a:blip r:embed="rId11"/>
                          <a:stretch>
                            <a:fillRect/>
                          </a:stretch>
                        </pic:blipFill>
                        <pic:spPr>
                          <a:xfrm>
                            <a:off x="0" y="0"/>
                            <a:ext cx="5760130" cy="2454020"/>
                          </a:xfrm>
                          <a:prstGeom prst="rect"/>
                        </pic:spPr>
                      </pic:pic>
                    </a:graphicData>
                  </a:graphic>
                </wp:inline>
              </w:drawing>
            </w:r>
          </w:p>
        </w:tc>
      </w:tr>
    </w:tbl>
    <w:p>
      <w:pPr>
        <w:spacing w:after="0" w:line="160" w:lineRule="exact"/>
      </w:pPr>
    </w:p>
    <w:p>
      <w:pPr>
        <w:pStyle w:val="Heading1"/>
        <w:pageBreakBefore w:val="0"/>
      </w:pPr>
      <w:r>
        <w:t>Aufgaben</w:t>
      </w:r>
    </w:p>
    <w:p>
      <w:pPr>
        <w:keepNext w:val="0"/>
        <w:tabs>
          <w:tab w:pos="454" w:val="left"/>
        </w:tabs>
        <w:spacing w:before="160"/>
        <w:ind w:left="454" w:hanging="454"/>
      </w:pPr>
      <w:r>
        <w:rPr>
          <w:b/>
        </w:rPr>
        <w:t>a)</w:t>
        <w:tab/>
      </w:r>
      <w:r>
        <w:rPr>
          <w:b/>
        </w:rPr>
        <w:t>Erläutern</w:t>
      </w:r>
      <w:r>
        <w:t xml:space="preserve"> Sie die Kennzeichnungen in der Relation Bestellung (Material 1) und </w:t>
      </w:r>
      <w:r>
        <w:rPr>
          <w:b/>
        </w:rPr>
        <w:t>beurteilen</w:t>
      </w:r>
      <w:r>
        <w:t xml:space="preserve"> Sie, ob das Attributpaar (PersonNr, AngebotNr) anstelle von BestellNr als Primärschlüssel der Relation Bestellung genügen würde. [4 BE]</w:t>
      </w:r>
    </w:p>
    <w:p>
      <w:pPr>
        <w:keepNext w:val="0"/>
        <w:tabs>
          <w:tab w:pos="454" w:val="left"/>
        </w:tabs>
        <w:spacing w:before="160"/>
        <w:ind w:left="454" w:hanging="454"/>
      </w:pPr>
      <w:r>
        <w:rPr>
          <w:b/>
        </w:rPr>
        <w:t>b)</w:t>
        <w:tab/>
      </w:r>
      <w:r>
        <w:rPr>
          <w:b/>
        </w:rPr>
        <w:t>Untersuchen</w:t>
      </w:r>
      <w:r>
        <w:t xml:space="preserve"> Sie die Tabelle BestellUebersicht (Material 3) auf Anomalien; gehen Sie dabei an konkreten Datensätzen auf den Zusammenhang mit der Redundanz ein. [5 BE]</w:t>
      </w:r>
    </w:p>
    <w:p>
      <w:pPr>
        <w:keepNext w:val="0"/>
        <w:tabs>
          <w:tab w:pos="454" w:val="left"/>
        </w:tabs>
        <w:spacing w:before="160"/>
        <w:ind w:left="454" w:hanging="454"/>
      </w:pPr>
      <w:r>
        <w:rPr>
          <w:b/>
        </w:rPr>
        <w:t>c)</w:t>
        <w:tab/>
      </w:r>
      <w:r>
        <w:t xml:space="preserve">Die Mensa möchte ihr Datenmodell erweitern: Gerichte können </w:t>
      </w:r>
      <w:r>
        <w:rPr>
          <w:b/>
        </w:rPr>
        <w:t>Allergene</w:t>
      </w:r>
      <w:r>
        <w:t xml:space="preserve"> enthalten. Ein Allergen hat ein Kürzel (z. B. „G“ für glutenhaltiges Getreide) und eine Bezeichnung und kann in vielen Gerichten vorkommen. Zu jedem Paar aus Gericht und Allergen soll ein Hinweis gespeichert werden (z. B. „nur Spuren“). Außerdem kann jede Küchenkraft bei Abwesenheit von höchstens einer anderen Küchenkraft vertreten werden; eine Küchenkraft kann die Vertretung für mehrere andere übernehmen. </w:t>
      </w:r>
      <w:r>
        <w:rPr>
          <w:b/>
        </w:rPr>
        <w:t>Erweitern</w:t>
      </w:r>
      <w:r>
        <w:t xml:space="preserve"> Sie das ER-Modell (Material 4) um diese Anforderungen. Geben Sie Schlüsselattribute und Kardinalitäten vollständig an. [6 BE]</w:t>
      </w:r>
    </w:p>
    <w:p>
      <w:pPr>
        <w:keepNext w:val="0"/>
        <w:tabs>
          <w:tab w:pos="454" w:val="left"/>
        </w:tabs>
        <w:spacing w:before="160"/>
        <w:ind w:left="454" w:hanging="454"/>
      </w:pPr>
      <w:r>
        <w:rPr>
          <w:b/>
        </w:rPr>
        <w:t>d)</w:t>
        <w:tab/>
      </w:r>
      <w:r>
        <w:rPr>
          <w:b/>
        </w:rPr>
        <w:t>Erstellen</w:t>
      </w:r>
      <w:r>
        <w:t xml:space="preserve"> Sie zu dem in Teilaufgabe c) ergänzten Teil des ER-Modells das Relationenschema in Kurzschreibweise und </w:t>
      </w:r>
      <w:r>
        <w:rPr>
          <w:b/>
        </w:rPr>
        <w:t>begründen</w:t>
      </w:r>
      <w:r>
        <w:t xml:space="preserve"> Sie die Umsetzung des Beziehungstyps enthaelt. [3 BE]</w:t>
      </w:r>
    </w:p>
    <w:p>
      <w:pPr>
        <w:keepNext w:val="0"/>
        <w:tabs>
          <w:tab w:pos="454" w:val="left"/>
        </w:tabs>
        <w:spacing w:before="160"/>
        <w:ind w:left="454" w:hanging="454"/>
      </w:pPr>
      <w:r>
        <w:rPr>
          <w:b/>
        </w:rPr>
        <w:t>e)</w:t>
        <w:tab/>
      </w:r>
      <w:r>
        <w:rPr>
          <w:b/>
        </w:rPr>
        <w:t>Entwerfen</w:t>
      </w:r>
      <w:r>
        <w:t xml:space="preserve"> Sie eine SQL-Abfrage, die Bezeichnung und Preis aller vegetarischen Gerichte ausgibt, die am 15.03.2027 angeboten werden. Das Ergebnis soll aufsteigend nach dem Preis sortiert sein. [3 BE]</w:t>
      </w:r>
    </w:p>
    <w:p>
      <w:pPr>
        <w:keepNext w:val="0"/>
        <w:tabs>
          <w:tab w:pos="454" w:val="left"/>
        </w:tabs>
        <w:spacing w:before="160"/>
        <w:ind w:left="454" w:hanging="454"/>
      </w:pPr>
      <w:r>
        <w:rPr>
          <w:b/>
        </w:rPr>
        <w:t>f)</w:t>
        <w:tab/>
      </w:r>
      <w:r>
        <w:rPr>
          <w:b/>
        </w:rPr>
        <w:t>Entwerfen</w:t>
      </w:r>
      <w:r>
        <w:t xml:space="preserve"> Sie eine SQL-Abfrage, die für jedes Gericht die Gerichtnummer, die Bezeichnung und die Summe der im März 2027 bestellten Portionen ausgibt. Berücksichtigt werden sollen nur Gerichte mit mehr als 50 bestellten Portionen; das Ergebnis soll absteigend nach dieser Summe sortiert sein. [5 BE]</w:t>
      </w: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Person.PersonNr, Person.Vorname, Person.Nachname, COUNT(*) AS Anzahl</w:t>
        <w:br/>
        <w:t>FROM Person, Bestellung, Angebot</w:t>
        <w:br/>
        <w:t>WHERE Person.PersonNr = Bestellung.PersonNr</w:t>
        <w:br/>
        <w:t xml:space="preserve">  AND Bestellung.AngebotNr = Angebot.AngebotNr</w:t>
        <w:br/>
        <w:t xml:space="preserve">  AND Bestellung.Abgeholt IS NULL</w:t>
        <w:br/>
        <w:t>GROUP BY Person.PersonNr, Person.Vorname, Person.Nachname</w:t>
        <w:br/>
        <w:t>ORDER BY COUNT(*) DESC</w:t>
        <w:br/>
        <w:t>LIMIT 3</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GP-eA</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Generalprobe Datenbanken (eA)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generalprobe</vt:lpwstr>
  </property>
  <property fmtid="{D5CDD505-2E9C-101B-9397-08002B2CF9AE}" pid="4" name="DD-Datenbank">
    <vt:lpwstr>verhoer/mensa</vt:lpwstr>
  </property>
  <property fmtid="{D5CDD505-2E9C-101B-9397-08002B2CF9AE}" pid="5" name="DD-Fassung">
    <vt:lpwstr>schueler</vt:lpwstr>
  </property>
  <property fmtid="{D5CDD505-2E9C-101B-9397-08002B2CF9AE}" pid="6" name="DD-Kompetenzen">
    <vt:lpwstr>{"GP-eA-a": ["DB-K02", "DB-K03", "DB-K05"], "GP-eA-b": ["DB-K07", "DB-K08", "DB-K09", "DB-K10"], "GP-eA-c": ["DB-K35", "DB-K36", "DB-K37", "DB-K39"], "GP-eA-d": ["DB-K04", "DB-K41", "DB-K42"], "GP-eA-e": ["DB-K17", "DB-K21", "DB-K23", "DB-K32"], "GP-eA-f": ["DB-K18", "DB-K24", "DB-K25", "DB-K26", "DB-K27"], "GP-eA-g": ["DB-K18", "DB-K22", "DB-K28"]}</vt:lpwstr>
  </property>
  <property fmtid="{D5CDD505-2E9C-101B-9397-08002B2CF9AE}" pid="7" name="DD-Kuer">
    <vt:lpwstr>nein</vt:lpwstr>
  </property>
  <property fmtid="{D5CDD505-2E9C-101B-9397-08002B2CF9AE}" pid="8" name="DD-Material">
    <vt:lpwstr>GP-eA</vt:lpwstr>
  </property>
</Properties>
</file>