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W-A1-01 · RELATIONALES MODELL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Begriffe am Fundbuch</w:t>
            </w:r>
          </w:p>
          <w:p>
            <w:pPr>
              <w:pStyle w:val="DDTabellentext"/>
              <w:spacing w:after="60"/>
            </w:pPr>
            <w:r>
              <w:t>Ein Ausschnitt des Fundbuchs: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5103" w:type="dxa"/>
            </w:tblPr>
            <w:tblGrid>
              <w:gridCol w:w="1020"/>
              <w:gridCol w:w="1814"/>
              <w:gridCol w:w="1360"/>
              <w:gridCol w:w="907"/>
            </w:tblGrid>
            <w:tr>
              <w:trPr>
                <w:tblHeader/>
              </w:trPr>
              <w:tc>
                <w:tcPr>
                  <w:tcW w:type="dxa" w:w="102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FundNr</w:t>
                  </w:r>
                </w:p>
              </w:tc>
              <w:tc>
                <w:tcPr>
                  <w:tcW w:type="dxa" w:w="181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Bezeichnung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Kategorie</w:t>
                  </w:r>
                </w:p>
              </w:tc>
              <w:tc>
                <w:tcPr>
                  <w:tcW w:type="dxa" w:w="90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Farbe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20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Notizbuch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Dokumente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grau</w:t>
                  </w:r>
                </w:p>
              </w:tc>
            </w:tr>
            <w:tr>
              <w:tc>
                <w:tcPr>
                  <w:tcW w:type="dxa" w:w="102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21</w:t>
                  </w:r>
                </w:p>
              </w:tc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Autoschlüssel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Schlüssel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braun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Gib für </w:t>
            </w:r>
            <w:r>
              <w:rPr>
                <w:b/>
              </w:rPr>
              <w:t>Tabelle</w:t>
            </w:r>
            <w:r>
              <w:t xml:space="preserve">, </w:t>
            </w:r>
            <w:r>
              <w:rPr>
                <w:b/>
              </w:rPr>
              <w:t>Datensatz</w:t>
            </w:r>
            <w:r>
              <w:t xml:space="preserve">, </w:t>
            </w:r>
            <w:r>
              <w:rPr>
                <w:b/>
              </w:rPr>
              <w:t>Attribut</w:t>
            </w:r>
            <w:r>
              <w:t xml:space="preserve"> und </w:t>
            </w:r>
            <w:r>
              <w:rPr>
                <w:b/>
              </w:rPr>
              <w:t>Attributwert</w:t>
            </w:r>
            <w:r>
              <w:t xml:space="preserve"> jeweils ein Beispiel an.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K01, K47</w:t>
            </w:r>
          </w:p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W-A1-02 · ABFRAGE ANALYSIEREN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3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Klammer-Check</w:t>
            </w:r>
          </w:p>
          <w:p>
            <w:pPr>
              <w:pStyle w:val="DDTabellentext"/>
              <w:spacing w:after="60"/>
            </w:pPr>
            <w:r>
              <w:t>Sechs Fundsachen (FundNr: Kategorie, Farbe, Wert):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4: Taschen, blau, 32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9: Spielzeug, rot, 3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10: Kleidung, rot, 27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31: Sonstiges, NULL, 5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73: Sonstiges, gelb, 39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>80: Sonstiges, schwarz, 8</w:t>
            </w:r>
          </w:p>
          <w:p>
            <w:pPr>
              <w:pStyle w:val="DDTabellentext"/>
              <w:spacing w:after="60"/>
            </w:pPr>
            <w:r>
              <w:t>Welche liefert die Bedingung? Was ändern Klammern um die OR-Bedingung?</w:t>
            </w:r>
          </w:p>
          <w:p>
            <w:pPr>
              <w:pStyle w:val="SQL-Code"/>
            </w:pPr>
            <w:r>
              <w:rPr>
                <w:vanish/>
              </w:rPr>
              <w:t>[[DD: db=fundbuero, aus]]</w:t>
            </w:r>
            <w:r>
              <w:t>SELECT FundNr</w:t>
              <w:br/>
              <w:t>FROM Fundsache</w:t>
              <w:br/>
              <w:t>WHERE Kategorie = 'Sonstiges' OR Farbe = 'rot' AND Wert &gt; 10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K17, K29 · Falle P6</w:t>
            </w:r>
          </w:p>
        </w:tc>
      </w:tr>
    </w:tbl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10546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0546"/>
      </w:tblGrid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bottom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W-A1-03 · SQL EINE TABELLE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3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Zweistufig sortieren</w:t>
            </w:r>
          </w:p>
          <w:p>
            <w:pPr>
              <w:pStyle w:val="DDTabellentext"/>
              <w:spacing w:after="60"/>
            </w:pPr>
            <w:r>
              <w:t>Entwirf eine Abfrage, die Bezeichnung, Kategorie und Wert aller Fundsachen ausgibt – sortiert nach Kategorie aufsteigend, innerhalb einer Kategorie nach Wert absteigend.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K21, K15</w:t>
            </w:r>
          </w:p>
        </w:tc>
      </w:tr>
      <w:tr>
        <w:trPr>
          <w:trHeight w:val="7285" w:hRule="exact"/>
          <w:cantSplit/>
        </w:trPr>
        <w:tc>
          <w:tcPr>
            <w:tcW w:type="dxa" w:w="10545"/>
            <w:tcMar>
              <w:top w:w="283" w:type="dxa"/>
              <w:left w:w="397" w:type="dxa"/>
              <w:bottom w:w="227" w:type="dxa"/>
              <w:right w:w="397" w:type="dxa"/>
            </w:tcMar>
            <w:tcBorders>
              <w:top w:val="dashed" w:sz="4" w:space="0" w:color="8F8270"/>
            </w:tcBorders>
          </w:tcPr>
          <w:p>
            <w:pPr>
              <w:pStyle w:val="DDTabellentext"/>
              <w:tabs>
                <w:tab w:pos="9694" w:val="right"/>
              </w:tabs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WARM-UP · W-A1-04 · SCHLÜSSEL</w:t>
            </w: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ab/>
              <w:t>2 MIN</w:t>
            </w:r>
          </w:p>
          <w:p>
            <w:pPr>
              <w:pStyle w:val="DDTabellentext"/>
              <w:spacing w:before="80" w:after="120"/>
            </w:pPr>
            <w:r>
              <w:rPr>
                <w:rFonts w:ascii="Barlow Condensed SemiBold" w:hAnsi="Barlow Condensed SemiBold" w:eastAsia="Barlow Condensed SemiBold" w:cs="Barlow Condensed SemiBold"/>
                <w:sz w:val="34"/>
              </w:rPr>
              <w:t>Schlüsselfrage</w:t>
            </w:r>
          </w:p>
          <w:p>
            <w:pPr>
              <w:pStyle w:val="DDTabellentext"/>
              <w:spacing w:after="60"/>
            </w:pPr>
            <w:r>
              <w:t>In einem Ausschnitt des Fundbuchs mit sechs Zeilen kommt jede Bezeichnung nur einmal vor. Begründe, warum Bezeichnung trotzdem kein Primärschlüssel ist.</w:t>
            </w:r>
          </w:p>
          <w:p>
            <w:pPr>
              <w:pStyle w:val="DDTabellentext"/>
              <w:spacing w:before="160"/>
            </w:pPr>
            <w:r>
              <w:rPr>
                <w:rFonts w:ascii="IBM Plex Mono" w:hAnsi="IBM Plex Mono" w:eastAsia="IBM Plex Mono" w:cs="IBM Plex Mono"/>
                <w:color w:val="58626D"/>
                <w:sz w:val="13"/>
                <w:spacing w:val="16"/>
              </w:rPr>
              <w:t>Kompetenz K02 · Falle P8</w:t>
            </w:r>
          </w:p>
        </w:tc>
      </w:tr>
    </w:tbl>
    <w:p>
      <w:r>
        <w:br w:type="page"/>
      </w:r>
    </w:p>
    <w:p>
      <w:pPr>
        <w:pStyle w:val="Heading1"/>
      </w:pPr>
      <w:r>
        <w:t>Lösungen der Warm-up-Karten</w:t>
      </w:r>
    </w:p>
    <w:p>
      <w:r>
        <w:rPr>
          <w:rFonts w:ascii="IBM Plex Mono" w:hAnsi="IBM Plex Mono" w:eastAsia="IBM Plex Mono" w:cs="IBM Plex Mono"/>
          <w:b/>
          <w:color w:val="B3261E"/>
          <w:sz w:val="14"/>
        </w:rPr>
        <w:t>NUR LEHRKRAFT – dieser Teil fehlt in der Schülerfassung.</w:t>
      </w:r>
    </w:p>
    <w:p>
      <w:pPr>
        <w:pStyle w:val="Heading3"/>
      </w:pPr>
      <w:r>
        <w:t>W-A1-01 · Begriffe am Fundbuch</w:t>
      </w:r>
    </w:p>
    <w:p>
      <w:r>
        <w:t xml:space="preserve">Tabelle = Fundsache (das ganze Fundbuch) · Datensatz = eine Zeile, z. B. 21 Autoschlüssel · Attribut = eine Spalte, z. B. Farbe · Attributwert = ein Eintrag, z. B. </w:t>
      </w:r>
      <w:r>
        <w:rPr>
          <w:rFonts w:ascii="IBM Plex Mono" w:hAnsi="IBM Plex Mono" w:eastAsia="IBM Plex Mono" w:cs="IBM Plex Mono"/>
          <w:sz w:val="19"/>
        </w:rPr>
        <w:t>braun</w:t>
      </w:r>
      <w:r>
        <w:t>.</w:t>
      </w:r>
    </w:p>
    <w:p>
      <w:pPr>
        <w:pStyle w:val="Heading3"/>
      </w:pPr>
      <w:r>
        <w:t>W-A1-02 · Klammer-Check</w:t>
      </w:r>
    </w:p>
    <w:p>
      <w:r>
        <w:t xml:space="preserve">AND bindet stärker: </w:t>
      </w:r>
      <w:r>
        <w:rPr>
          <w:rFonts w:ascii="IBM Plex Mono" w:hAnsi="IBM Plex Mono" w:eastAsia="IBM Plex Mono" w:cs="IBM Plex Mono"/>
          <w:sz w:val="19"/>
        </w:rPr>
        <w:t>Kategorie = 'Sonstiges' OR (Farbe = 'rot' AND Wert &gt; 10)</w:t>
      </w:r>
      <w:r>
        <w:t xml:space="preserve"> liefert 10, 31, 73, 80. Mit Klammern </w:t>
      </w:r>
      <w:r>
        <w:rPr>
          <w:rFonts w:ascii="IBM Plex Mono" w:hAnsi="IBM Plex Mono" w:eastAsia="IBM Plex Mono" w:cs="IBM Plex Mono"/>
          <w:sz w:val="19"/>
        </w:rPr>
        <w:t>(Kategorie = 'Sonstiges' OR Farbe = 'rot') AND Wert &gt; 10</w:t>
      </w:r>
      <w:r>
        <w:t xml:space="preserve"> bleiben nur 10 und 73.</w:t>
      </w:r>
    </w:p>
    <w:p>
      <w:pPr>
        <w:pStyle w:val="SQL-Code"/>
      </w:pPr>
      <w:r>
        <w:rPr>
          <w:vanish/>
        </w:rPr>
        <w:t>[[DD: db=fundbuero]]</w:t>
      </w:r>
      <w:r>
        <w:t>SELECT FundNr</w:t>
        <w:br/>
        <w:t>FROM Fundsache</w:t>
        <w:br/>
        <w:t>WHERE FundNr IN (4, 9, 10, 31, 73, 80)</w:t>
        <w:br/>
        <w:t xml:space="preserve">  AND (Kategorie = 'Sonstiges' OR Farbe = 'rot')</w:t>
        <w:br/>
        <w:t xml:space="preserve">  AND Wert &gt; 10</w:t>
      </w:r>
    </w:p>
    <w:p>
      <w:pPr>
        <w:pStyle w:val="Heading3"/>
      </w:pPr>
      <w:r>
        <w:t>W-A1-03 · Zweistufig sortieren</w:t>
      </w:r>
    </w:p>
    <w:p>
      <w:r>
        <w:t xml:space="preserve">Das erste Kriterium sortiert, das zweite entscheidet nur bei Gleichstand. </w:t>
      </w:r>
      <w:r>
        <w:rPr>
          <w:rFonts w:ascii="IBM Plex Mono" w:hAnsi="IBM Plex Mono" w:eastAsia="IBM Plex Mono" w:cs="IBM Plex Mono"/>
          <w:sz w:val="19"/>
        </w:rPr>
        <w:t>DESC</w:t>
      </w:r>
      <w:r>
        <w:t xml:space="preserve"> gilt nur für Wert.</w:t>
      </w:r>
    </w:p>
    <w:p>
      <w:pPr>
        <w:pStyle w:val="SQL-Code"/>
      </w:pPr>
      <w:r>
        <w:rPr>
          <w:vanish/>
        </w:rPr>
        <w:t>[[DD: db=fundbuero]]</w:t>
      </w:r>
      <w:r>
        <w:t>SELECT Bezeichnung, Kategorie, Wert</w:t>
        <w:br/>
        <w:t>FROM Fundsache</w:t>
        <w:br/>
        <w:t>ORDER BY Kategorie, Wert DESC</w:t>
      </w:r>
    </w:p>
    <w:p>
      <w:pPr>
        <w:pStyle w:val="Heading3"/>
      </w:pPr>
      <w:r>
        <w:t>W-A1-04 · Schlüsselfrage</w:t>
      </w:r>
    </w:p>
    <w:p>
      <w:r>
        <w:t xml:space="preserve">Ein Primärschlüssel muss für </w:t>
      </w:r>
      <w:r>
        <w:rPr>
          <w:b/>
        </w:rPr>
        <w:t>alle möglichen</w:t>
      </w:r>
      <w:r>
        <w:t xml:space="preserve"> Daten eindeutig sein – nicht nur für den Ausschnitt. Morgen kann ein zweites Smartphone abgegeben werden; im ganzen Fundbuch gibt es schon mehrere. Darum ist FundNr der Primärschlüssel.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67" w:right="680" w:bottom="567" w:left="680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Warm-up A1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1 · DAS FUNDBÜRO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Warm-up-Karten Akte 1 (Muster)</dc:title>
  <dc:subject>Das Fundbüro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1</vt:lpwstr>
  </property>
  <property fmtid="{D5CDD505-2E9C-101B-9397-08002B2CF9AE}" pid="3" name="DD-Art">
    <vt:lpwstr>warmup</vt:lpwstr>
  </property>
  <property fmtid="{D5CDD505-2E9C-101B-9397-08002B2CF9AE}" pid="4" name="DD-Fassung">
    <vt:lpwstr>schueler</vt:lpwstr>
  </property>
  <property fmtid="{D5CDD505-2E9C-101B-9397-08002B2CF9AE}" pid="5" name="DD-Kuer">
    <vt:lpwstr>nein</vt:lpwstr>
  </property>
  <property fmtid="{D5CDD505-2E9C-101B-9397-08002B2CF9AE}" pid="6" name="DD-Material">
    <vt:lpwstr>Warm-up A1</vt:lpwstr>
  </property>
</Properties>
</file>