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AKTE 5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Lehrerhinweise Akte 5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Der Bauplan · DS 9–11 · nur eA (im gA-Kurs entfällt die Akte)</w:t>
            </w:r>
          </w:p>
          <w:p>
            <w:pPr>
              <w:pStyle w:val="DDTabellentext"/>
              <w:spacing w:before="10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7"/>
                <w:spacing w:val="16"/>
              </w:rPr>
              <w:t>NUR LEHRKRAFT</w:t>
            </w: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42224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4222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p>
      <w:pPr>
        <w:pStyle w:val="Heading1"/>
      </w:pPr>
      <w:r>
        <w:t>Überblick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510"/>
        <w:gridCol w:w="3175"/>
        <w:gridCol w:w="1814"/>
        <w:gridCol w:w="1360"/>
        <w:gridCol w:w="2778"/>
      </w:tblGrid>
      <w:tr>
        <w:trPr>
          <w:tblHeader/>
        </w:trPr>
        <w:tc>
          <w:tcPr>
            <w:tcW w:type="dxa" w:w="51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DS</w:t>
            </w:r>
          </w:p>
        </w:tc>
        <w:tc>
          <w:tcPr>
            <w:tcW w:type="dxa" w:w="3175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Thema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Lab</w:t>
            </w:r>
          </w:p>
        </w:tc>
        <w:tc>
          <w:tcPr>
            <w:tcW w:type="dxa" w:w="136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Warm-up</w:t>
            </w:r>
          </w:p>
        </w:tc>
        <w:tc>
          <w:tcPr>
            <w:tcW w:type="dxa" w:w="277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Abi-Bezug</w:t>
            </w:r>
          </w:p>
        </w:tc>
      </w:tr>
      <w:tr>
        <w:tc>
          <w:tcPr>
            <w:tcW w:type="dxa" w:w="51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9</w:t>
            </w:r>
          </w:p>
        </w:tc>
        <w:tc>
          <w:tcPr>
            <w:tcW w:type="dxa" w:w="317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Baupläne lesen – Chen-Notation nach EH §7, Kardinalitäten (auch aus Daten), Attribute an Beziehungstypen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A5-E1-01 … 08 + CC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W-A4-05 … 08</w:t>
            </w:r>
          </w:p>
        </w:tc>
        <w:tc>
          <w:tcPr>
            <w:tcW w:type="dxa" w:w="277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Kardinalitäten begründen (eA E22, E23N, E25); ER-Diagramm im Sachzusammenhang erläutern</w:t>
            </w:r>
          </w:p>
        </w:tc>
      </w:tr>
      <w:tr>
        <w:tc>
          <w:tcPr>
            <w:tcW w:type="dxa" w:w="51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10</w:t>
            </w:r>
          </w:p>
        </w:tc>
        <w:tc>
          <w:tcPr>
            <w:tcW w:type="dxa" w:w="317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Der Architekturwettbewerb – ER-Modell entwickeln und erweitern, rekursiv, zwei Beziehungstypen, ternär, Grenzen, beurteilen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A5-E2-01 … 08 + CC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W-A5-01 … 04</w:t>
            </w:r>
          </w:p>
        </w:tc>
        <w:tc>
          <w:tcPr>
            <w:tcW w:type="dxa" w:w="277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ER ergänzen (eA 8/9) bzw. entwickeln (seit 2025); rekursive Beziehung (neu im EH-Beispiel, Prognose)</w:t>
            </w:r>
          </w:p>
        </w:tc>
      </w:tr>
      <w:tr>
        <w:tc>
          <w:tcPr>
            <w:tcW w:type="dxa" w:w="51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11</w:t>
            </w:r>
          </w:p>
        </w:tc>
        <w:tc>
          <w:tcPr>
            <w:tcW w:type="dxa" w:w="317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Vom Plan zur Datenbank – Überführung R1–R6 mit Begründung, Rückrichtung, Self-Join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A5-E3-01 … 08 + CC; Verhör 5 (V5)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W-A5-05 … 08</w:t>
            </w:r>
          </w:p>
        </w:tc>
        <w:tc>
          <w:tcPr>
            <w:tcW w:type="dxa" w:w="277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Überführung (eA E21, E26), Rückrichtung (E21N, E25N), Self-Join (Prognose)</w:t>
            </w:r>
          </w:p>
        </w:tc>
      </w:tr>
    </w:tbl>
    <w:p>
      <w:pPr>
        <w:spacing w:after="0" w:line="80" w:lineRule="exact"/>
      </w:pPr>
    </w:p>
    <w:p>
      <w:r>
        <w:t xml:space="preserve">Datenbank: </w:t>
      </w:r>
      <w:r>
        <w:rPr>
          <w:b/>
        </w:rPr>
        <w:t>Detektei</w:t>
      </w:r>
      <w:r>
        <w:t xml:space="preserve"> – die Fall-Datenbank ist zugleich die Referenzlösung des Architekturwettbewerbs (DS 10) und der Überführung (DS 11). Im Lab steht ihre Datenbank-Kachel nur in A5-E3-08 und A5-E3-CC, sonst stehen Tabellenausschnitte direkt in den Aufgaben. Relationenschema:</w:t>
      </w:r>
    </w:p>
    <w:p>
      <w:pPr>
        <w:spacing w:after="100"/>
      </w:pPr>
      <w:r>
        <w:rPr>
          <w:rFonts w:ascii="IBM Plex Mono" w:hAnsi="IBM Plex Mono" w:eastAsia="IBM Plex Mono" w:cs="IBM Plex Mono"/>
          <w:sz w:val="18"/>
        </w:rPr>
        <w:t>Ermittler(</w:t>
      </w:r>
      <w:r>
        <w:rPr>
          <w:rFonts w:ascii="IBM Plex Mono" w:hAnsi="IBM Plex Mono" w:eastAsia="IBM Plex Mono" w:cs="IBM Plex Mono"/>
          <w:sz w:val="18"/>
          <w:u w:val="single"/>
        </w:rPr>
        <w:t>ErmittlerNr</w:t>
      </w:r>
      <w:r>
        <w:rPr>
          <w:rFonts w:ascii="IBM Plex Mono" w:hAnsi="IBM Plex Mono" w:eastAsia="IBM Plex Mono" w:cs="IBM Plex Mono"/>
          <w:sz w:val="18"/>
        </w:rPr>
        <w:t xml:space="preserve">, Name, Dienstgrad, </w:t>
      </w:r>
      <w:r>
        <w:rPr>
          <w:rFonts w:ascii="IBM Plex Mono" w:hAnsi="IBM Plex Mono" w:eastAsia="IBM Plex Mono" w:cs="IBM Plex Mono"/>
          <w:color w:val="B3261E"/>
          <w:sz w:val="18"/>
        </w:rPr>
        <w:t>↑</w:t>
      </w:r>
      <w:r>
        <w:rPr>
          <w:rFonts w:ascii="IBM Plex Mono" w:hAnsi="IBM Plex Mono" w:eastAsia="IBM Plex Mono" w:cs="IBM Plex Mono"/>
          <w:sz w:val="18"/>
        </w:rPr>
        <w:t>MentorNr)</w:t>
      </w:r>
    </w:p>
    <w:p>
      <w:pPr>
        <w:spacing w:after="100"/>
      </w:pPr>
      <w:r>
        <w:rPr>
          <w:rFonts w:ascii="IBM Plex Mono" w:hAnsi="IBM Plex Mono" w:eastAsia="IBM Plex Mono" w:cs="IBM Plex Mono"/>
          <w:sz w:val="18"/>
        </w:rPr>
        <w:t>Fall(</w:t>
      </w:r>
      <w:r>
        <w:rPr>
          <w:rFonts w:ascii="IBM Plex Mono" w:hAnsi="IBM Plex Mono" w:eastAsia="IBM Plex Mono" w:cs="IBM Plex Mono"/>
          <w:sz w:val="18"/>
          <w:u w:val="single"/>
        </w:rPr>
        <w:t>FallNr</w:t>
      </w:r>
      <w:r>
        <w:rPr>
          <w:rFonts w:ascii="IBM Plex Mono" w:hAnsi="IBM Plex Mono" w:eastAsia="IBM Plex Mono" w:cs="IBM Plex Mono"/>
          <w:sz w:val="18"/>
        </w:rPr>
        <w:t xml:space="preserve">, Titel, Eroeffnet, Status, </w:t>
      </w:r>
      <w:r>
        <w:rPr>
          <w:rFonts w:ascii="IBM Plex Mono" w:hAnsi="IBM Plex Mono" w:eastAsia="IBM Plex Mono" w:cs="IBM Plex Mono"/>
          <w:color w:val="B3261E"/>
          <w:sz w:val="18"/>
        </w:rPr>
        <w:t>↑</w:t>
      </w:r>
      <w:r>
        <w:rPr>
          <w:rFonts w:ascii="IBM Plex Mono" w:hAnsi="IBM Plex Mono" w:eastAsia="IBM Plex Mono" w:cs="IBM Plex Mono"/>
          <w:sz w:val="18"/>
        </w:rPr>
        <w:t>LeiterNr)</w:t>
      </w:r>
    </w:p>
    <w:p>
      <w:pPr>
        <w:spacing w:after="100"/>
      </w:pPr>
      <w:r>
        <w:rPr>
          <w:rFonts w:ascii="IBM Plex Mono" w:hAnsi="IBM Plex Mono" w:eastAsia="IBM Plex Mono" w:cs="IBM Plex Mono"/>
          <w:sz w:val="18"/>
        </w:rPr>
        <w:t>Person(</w:t>
      </w:r>
      <w:r>
        <w:rPr>
          <w:rFonts w:ascii="IBM Plex Mono" w:hAnsi="IBM Plex Mono" w:eastAsia="IBM Plex Mono" w:cs="IBM Plex Mono"/>
          <w:sz w:val="18"/>
          <w:u w:val="single"/>
        </w:rPr>
        <w:t>PersonNr</w:t>
      </w:r>
      <w:r>
        <w:rPr>
          <w:rFonts w:ascii="IBM Plex Mono" w:hAnsi="IBM Plex Mono" w:eastAsia="IBM Plex Mono" w:cs="IBM Plex Mono"/>
          <w:sz w:val="18"/>
        </w:rPr>
        <w:t>, Vorname, Nachname, Jahrgang, Stadtteil)</w:t>
      </w:r>
    </w:p>
    <w:p>
      <w:pPr>
        <w:spacing w:after="100"/>
      </w:pPr>
      <w:r>
        <w:rPr>
          <w:rFonts w:ascii="IBM Plex Mono" w:hAnsi="IBM Plex Mono" w:eastAsia="IBM Plex Mono" w:cs="IBM Plex Mono"/>
          <w:sz w:val="18"/>
        </w:rPr>
        <w:t>kennt(</w:t>
      </w:r>
      <w:r>
        <w:rPr>
          <w:rFonts w:ascii="IBM Plex Mono" w:hAnsi="IBM Plex Mono" w:eastAsia="IBM Plex Mono" w:cs="IBM Plex Mono"/>
          <w:color w:val="B3261E"/>
          <w:sz w:val="18"/>
          <w:u w:val="single"/>
        </w:rPr>
        <w:t>↑</w:t>
      </w:r>
      <w:r>
        <w:rPr>
          <w:rFonts w:ascii="IBM Plex Mono" w:hAnsi="IBM Plex Mono" w:eastAsia="IBM Plex Mono" w:cs="IBM Plex Mono"/>
          <w:sz w:val="18"/>
          <w:u w:val="single"/>
        </w:rPr>
        <w:t>PersonNr</w:t>
      </w:r>
      <w:r>
        <w:rPr>
          <w:rFonts w:ascii="IBM Plex Mono" w:hAnsi="IBM Plex Mono" w:eastAsia="IBM Plex Mono" w:cs="IBM Plex Mono"/>
          <w:sz w:val="18"/>
        </w:rPr>
        <w:t xml:space="preserve">, </w:t>
      </w:r>
      <w:r>
        <w:rPr>
          <w:rFonts w:ascii="IBM Plex Mono" w:hAnsi="IBM Plex Mono" w:eastAsia="IBM Plex Mono" w:cs="IBM Plex Mono"/>
          <w:color w:val="B3261E"/>
          <w:sz w:val="18"/>
          <w:u w:val="single"/>
        </w:rPr>
        <w:t>↑</w:t>
      </w:r>
      <w:r>
        <w:rPr>
          <w:rFonts w:ascii="IBM Plex Mono" w:hAnsi="IBM Plex Mono" w:eastAsia="IBM Plex Mono" w:cs="IBM Plex Mono"/>
          <w:sz w:val="18"/>
          <w:u w:val="single"/>
        </w:rPr>
        <w:t>BekannterNr</w:t>
      </w:r>
      <w:r>
        <w:rPr>
          <w:rFonts w:ascii="IBM Plex Mono" w:hAnsi="IBM Plex Mono" w:eastAsia="IBM Plex Mono" w:cs="IBM Plex Mono"/>
          <w:sz w:val="18"/>
        </w:rPr>
        <w:t>, Seit)</w:t>
      </w:r>
    </w:p>
    <w:p>
      <w:pPr>
        <w:spacing w:after="100"/>
      </w:pPr>
      <w:r>
        <w:rPr>
          <w:rFonts w:ascii="IBM Plex Mono" w:hAnsi="IBM Plex Mono" w:eastAsia="IBM Plex Mono" w:cs="IBM Plex Mono"/>
          <w:sz w:val="18"/>
        </w:rPr>
        <w:t>verdaechtig(</w:t>
      </w:r>
      <w:r>
        <w:rPr>
          <w:rFonts w:ascii="IBM Plex Mono" w:hAnsi="IBM Plex Mono" w:eastAsia="IBM Plex Mono" w:cs="IBM Plex Mono"/>
          <w:color w:val="B3261E"/>
          <w:sz w:val="18"/>
          <w:u w:val="single"/>
        </w:rPr>
        <w:t>↑</w:t>
      </w:r>
      <w:r>
        <w:rPr>
          <w:rFonts w:ascii="IBM Plex Mono" w:hAnsi="IBM Plex Mono" w:eastAsia="IBM Plex Mono" w:cs="IBM Plex Mono"/>
          <w:sz w:val="18"/>
          <w:u w:val="single"/>
        </w:rPr>
        <w:t>PersonNr</w:t>
      </w:r>
      <w:r>
        <w:rPr>
          <w:rFonts w:ascii="IBM Plex Mono" w:hAnsi="IBM Plex Mono" w:eastAsia="IBM Plex Mono" w:cs="IBM Plex Mono"/>
          <w:sz w:val="18"/>
        </w:rPr>
        <w:t xml:space="preserve">, </w:t>
      </w:r>
      <w:r>
        <w:rPr>
          <w:rFonts w:ascii="IBM Plex Mono" w:hAnsi="IBM Plex Mono" w:eastAsia="IBM Plex Mono" w:cs="IBM Plex Mono"/>
          <w:color w:val="B3261E"/>
          <w:sz w:val="18"/>
          <w:u w:val="single"/>
        </w:rPr>
        <w:t>↑</w:t>
      </w:r>
      <w:r>
        <w:rPr>
          <w:rFonts w:ascii="IBM Plex Mono" w:hAnsi="IBM Plex Mono" w:eastAsia="IBM Plex Mono" w:cs="IBM Plex Mono"/>
          <w:sz w:val="18"/>
          <w:u w:val="single"/>
        </w:rPr>
        <w:t>FallNr</w:t>
      </w:r>
      <w:r>
        <w:rPr>
          <w:rFonts w:ascii="IBM Plex Mono" w:hAnsi="IBM Plex Mono" w:eastAsia="IBM Plex Mono" w:cs="IBM Plex Mono"/>
          <w:sz w:val="18"/>
        </w:rPr>
        <w:t>, Grad)</w:t>
      </w:r>
    </w:p>
    <w:p>
      <w:pPr>
        <w:spacing w:after="100"/>
      </w:pPr>
      <w:r>
        <w:rPr>
          <w:rFonts w:ascii="IBM Plex Mono" w:hAnsi="IBM Plex Mono" w:eastAsia="IBM Plex Mono" w:cs="IBM Plex Mono"/>
          <w:sz w:val="18"/>
        </w:rPr>
        <w:t>Ort(</w:t>
      </w:r>
      <w:r>
        <w:rPr>
          <w:rFonts w:ascii="IBM Plex Mono" w:hAnsi="IBM Plex Mono" w:eastAsia="IBM Plex Mono" w:cs="IBM Plex Mono"/>
          <w:sz w:val="18"/>
          <w:u w:val="single"/>
        </w:rPr>
        <w:t>OrtNr</w:t>
      </w:r>
      <w:r>
        <w:rPr>
          <w:rFonts w:ascii="IBM Plex Mono" w:hAnsi="IBM Plex Mono" w:eastAsia="IBM Plex Mono" w:cs="IBM Plex Mono"/>
          <w:sz w:val="18"/>
        </w:rPr>
        <w:t>, Bezeichnung, Stadtteil)</w:t>
      </w:r>
    </w:p>
    <w:p>
      <w:pPr>
        <w:spacing w:after="100"/>
      </w:pPr>
      <w:r>
        <w:rPr>
          <w:rFonts w:ascii="IBM Plex Mono" w:hAnsi="IBM Plex Mono" w:eastAsia="IBM Plex Mono" w:cs="IBM Plex Mono"/>
          <w:sz w:val="18"/>
        </w:rPr>
        <w:t>Aussage(</w:t>
      </w:r>
      <w:r>
        <w:rPr>
          <w:rFonts w:ascii="IBM Plex Mono" w:hAnsi="IBM Plex Mono" w:eastAsia="IBM Plex Mono" w:cs="IBM Plex Mono"/>
          <w:color w:val="B3261E"/>
          <w:sz w:val="18"/>
          <w:u w:val="single"/>
        </w:rPr>
        <w:t>↑</w:t>
      </w:r>
      <w:r>
        <w:rPr>
          <w:rFonts w:ascii="IBM Plex Mono" w:hAnsi="IBM Plex Mono" w:eastAsia="IBM Plex Mono" w:cs="IBM Plex Mono"/>
          <w:sz w:val="18"/>
          <w:u w:val="single"/>
        </w:rPr>
        <w:t>PersonNr</w:t>
      </w:r>
      <w:r>
        <w:rPr>
          <w:rFonts w:ascii="IBM Plex Mono" w:hAnsi="IBM Plex Mono" w:eastAsia="IBM Plex Mono" w:cs="IBM Plex Mono"/>
          <w:sz w:val="18"/>
        </w:rPr>
        <w:t xml:space="preserve">, </w:t>
      </w:r>
      <w:r>
        <w:rPr>
          <w:rFonts w:ascii="IBM Plex Mono" w:hAnsi="IBM Plex Mono" w:eastAsia="IBM Plex Mono" w:cs="IBM Plex Mono"/>
          <w:color w:val="B3261E"/>
          <w:sz w:val="18"/>
          <w:u w:val="single"/>
        </w:rPr>
        <w:t>↑</w:t>
      </w:r>
      <w:r>
        <w:rPr>
          <w:rFonts w:ascii="IBM Plex Mono" w:hAnsi="IBM Plex Mono" w:eastAsia="IBM Plex Mono" w:cs="IBM Plex Mono"/>
          <w:sz w:val="18"/>
          <w:u w:val="single"/>
        </w:rPr>
        <w:t>FallNr</w:t>
      </w:r>
      <w:r>
        <w:rPr>
          <w:rFonts w:ascii="IBM Plex Mono" w:hAnsi="IBM Plex Mono" w:eastAsia="IBM Plex Mono" w:cs="IBM Plex Mono"/>
          <w:sz w:val="18"/>
        </w:rPr>
        <w:t xml:space="preserve">, </w:t>
      </w:r>
      <w:r>
        <w:rPr>
          <w:rFonts w:ascii="IBM Plex Mono" w:hAnsi="IBM Plex Mono" w:eastAsia="IBM Plex Mono" w:cs="IBM Plex Mono"/>
          <w:color w:val="B3261E"/>
          <w:sz w:val="18"/>
          <w:u w:val="single"/>
        </w:rPr>
        <w:t>↑</w:t>
      </w:r>
      <w:r>
        <w:rPr>
          <w:rFonts w:ascii="IBM Plex Mono" w:hAnsi="IBM Plex Mono" w:eastAsia="IBM Plex Mono" w:cs="IBM Plex Mono"/>
          <w:sz w:val="18"/>
          <w:u w:val="single"/>
        </w:rPr>
        <w:t>OrtNr</w:t>
      </w:r>
      <w:r>
        <w:rPr>
          <w:rFonts w:ascii="IBM Plex Mono" w:hAnsi="IBM Plex Mono" w:eastAsia="IBM Plex Mono" w:cs="IBM Plex Mono"/>
          <w:sz w:val="18"/>
        </w:rPr>
        <w:t xml:space="preserve">, </w:t>
      </w:r>
      <w:r>
        <w:rPr>
          <w:rFonts w:ascii="IBM Plex Mono" w:hAnsi="IBM Plex Mono" w:eastAsia="IBM Plex Mono" w:cs="IBM Plex Mono"/>
          <w:sz w:val="18"/>
          <w:u w:val="single"/>
        </w:rPr>
        <w:t>Zeitpunkt</w:t>
      </w:r>
      <w:r>
        <w:rPr>
          <w:rFonts w:ascii="IBM Plex Mono" w:hAnsi="IBM Plex Mono" w:eastAsia="IBM Plex Mono" w:cs="IBM Plex Mono"/>
          <w:sz w:val="18"/>
        </w:rPr>
        <w:t>, Inhalt)</w:t>
      </w:r>
    </w:p>
    <w:p>
      <w:pPr>
        <w:spacing w:after="100"/>
      </w:pPr>
      <w:r>
        <w:rPr>
          <w:rFonts w:ascii="IBM Plex Mono" w:hAnsi="IBM Plex Mono" w:eastAsia="IBM Plex Mono" w:cs="IBM Plex Mono"/>
          <w:sz w:val="18"/>
        </w:rPr>
        <w:t>Beweisstueck(</w:t>
      </w:r>
      <w:r>
        <w:rPr>
          <w:rFonts w:ascii="IBM Plex Mono" w:hAnsi="IBM Plex Mono" w:eastAsia="IBM Plex Mono" w:cs="IBM Plex Mono"/>
          <w:sz w:val="18"/>
          <w:u w:val="single"/>
        </w:rPr>
        <w:t>BeweisNr</w:t>
      </w:r>
      <w:r>
        <w:rPr>
          <w:rFonts w:ascii="IBM Plex Mono" w:hAnsi="IBM Plex Mono" w:eastAsia="IBM Plex Mono" w:cs="IBM Plex Mono"/>
          <w:sz w:val="18"/>
        </w:rPr>
        <w:t xml:space="preserve">, Bezeichnung, </w:t>
      </w:r>
      <w:r>
        <w:rPr>
          <w:rFonts w:ascii="IBM Plex Mono" w:hAnsi="IBM Plex Mono" w:eastAsia="IBM Plex Mono" w:cs="IBM Plex Mono"/>
          <w:color w:val="B3261E"/>
          <w:sz w:val="18"/>
        </w:rPr>
        <w:t>↑</w:t>
      </w:r>
      <w:r>
        <w:rPr>
          <w:rFonts w:ascii="IBM Plex Mono" w:hAnsi="IBM Plex Mono" w:eastAsia="IBM Plex Mono" w:cs="IBM Plex Mono"/>
          <w:sz w:val="18"/>
        </w:rPr>
        <w:t xml:space="preserve">FallNr, </w:t>
      </w:r>
      <w:r>
        <w:rPr>
          <w:rFonts w:ascii="IBM Plex Mono" w:hAnsi="IBM Plex Mono" w:eastAsia="IBM Plex Mono" w:cs="IBM Plex Mono"/>
          <w:color w:val="B3261E"/>
          <w:sz w:val="18"/>
        </w:rPr>
        <w:t>↑</w:t>
      </w:r>
      <w:r>
        <w:rPr>
          <w:rFonts w:ascii="IBM Plex Mono" w:hAnsi="IBM Plex Mono" w:eastAsia="IBM Plex Mono" w:cs="IBM Plex Mono"/>
          <w:sz w:val="18"/>
        </w:rPr>
        <w:t>OrtNr)</w:t>
      </w:r>
    </w:p>
    <w:p>
      <w:pPr>
        <w:pStyle w:val="Heading2"/>
      </w:pPr>
      <w:r>
        <w:t>Material dieser Akte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3515"/>
        <w:gridCol w:w="6123"/>
      </w:tblGrid>
      <w:tr>
        <w:trPr>
          <w:tblHeader/>
        </w:trPr>
        <w:tc>
          <w:tcPr>
            <w:tcW w:type="dxa" w:w="3515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Datei</w:t>
            </w:r>
          </w:p>
        </w:tc>
        <w:tc>
          <w:tcPr>
            <w:tcW w:type="dxa" w:w="6123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Zweck</w:t>
            </w:r>
          </w:p>
        </w:tc>
      </w:tr>
      <w:tr>
        <w:tc>
          <w:tcPr>
            <w:tcW w:type="dxa" w:w="351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1_Praesentation/DD_A5_Bauplan.pptx</w:t>
            </w:r>
          </w:p>
        </w:tc>
        <w:tc>
          <w:tcPr>
            <w:tcW w:type="dxa" w:w="6123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Fallbesprechung DS 9 (Folien 1–16), DS 10 (17–34), DS 11 (35–50) mit Sprechernotizen; Lösungsfolien nur in der Lehrkraftfassung</w:t>
            </w:r>
          </w:p>
        </w:tc>
      </w:tr>
      <w:tr>
        <w:tc>
          <w:tcPr>
            <w:tcW w:type="dxa" w:w="351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2_Arbeitsblaetter/DD_A5_AB1_… AB2_… AB3_…</w:t>
            </w:r>
          </w:p>
        </w:tc>
        <w:tc>
          <w:tcPr>
            <w:tcW w:type="dxa" w:w="6123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AB 5.1, 5.2, 5.3 (Lösungen in 5_Loesungen, *_LSG)</w:t>
            </w:r>
          </w:p>
        </w:tc>
      </w:tr>
      <w:tr>
        <w:tc>
          <w:tcPr>
            <w:tcW w:type="dxa" w:w="351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3_Unplugged/…Faeden-Kardinalitaeten</w:t>
            </w:r>
          </w:p>
        </w:tc>
        <w:tc>
          <w:tcPr>
            <w:tcW w:type="dxa" w:w="6123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DS 9: 20 Rollenkarten + Etiketten</w:t>
            </w:r>
          </w:p>
        </w:tc>
      </w:tr>
      <w:tr>
        <w:tc>
          <w:tcPr>
            <w:tcW w:type="dxa" w:w="351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3_Unplugged/…Architekturwettbewerb</w:t>
            </w:r>
          </w:p>
        </w:tc>
        <w:tc>
          <w:tcPr>
            <w:tcW w:type="dxa" w:w="6123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DS 10: Anforderungstext (Plakat), Teamrollen, Bewertungsbogen, Siegerstempel</w:t>
            </w:r>
          </w:p>
        </w:tc>
      </w:tr>
      <w:tr>
        <w:tc>
          <w:tcPr>
            <w:tcW w:type="dxa" w:w="351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3_Unplugged/…Regelkarten</w:t>
            </w:r>
          </w:p>
        </w:tc>
        <w:tc>
          <w:tcPr>
            <w:tcW w:type="dxa" w:w="6123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DS 11: Regelkarten R1–R6 (beidseitig) + Relationenkarten</w:t>
            </w:r>
          </w:p>
        </w:tc>
      </w:tr>
      <w:tr>
        <w:tc>
          <w:tcPr>
            <w:tcW w:type="dxa" w:w="351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Warm-up/DD_Warm-up-Karten_A5.docx</w:t>
            </w:r>
          </w:p>
        </w:tc>
        <w:tc>
          <w:tcPr>
            <w:tcW w:type="dxa" w:w="6123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W-A5-01 … 04 (DS 10), 05 … 08 (DS 11), 09 … 12 (DS 12, eA)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Korrekturen gegenüber der früheren Präsentation „ER-Modell“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 xml:space="preserve">Fachbegriffe nach EH: </w:t>
      </w:r>
      <w:r>
        <w:rPr>
          <w:b/>
        </w:rPr>
        <w:t>Entitätstyp</w:t>
      </w:r>
      <w:r>
        <w:t xml:space="preserve"> und </w:t>
      </w:r>
      <w:r>
        <w:rPr>
          <w:b/>
        </w:rPr>
        <w:t>Beziehungstyp</w:t>
      </w:r>
      <w:r>
        <w:t xml:space="preserve"> statt „Entitätsmenge“.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 xml:space="preserve">Schlüsselattribute werden im ER-Diagramm </w:t>
      </w:r>
      <w:r>
        <w:rPr>
          <w:b/>
        </w:rPr>
        <w:t>unterstrichen</w:t>
      </w:r>
      <w:r>
        <w:t xml:space="preserve"> (EH §7) – in allen Diagrammen dieser Akte.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 xml:space="preserve">Neue Regeln: </w:t>
      </w:r>
      <w:r>
        <w:rPr>
          <w:b/>
        </w:rPr>
        <w:t>rekursive</w:t>
      </w:r>
      <w:r>
        <w:t xml:space="preserve"> Beziehungen (R5, Fremdschlüssel nach Rolle benannt) und </w:t>
      </w:r>
      <w:r>
        <w:rPr>
          <w:b/>
        </w:rPr>
        <w:t>ternäre</w:t>
      </w:r>
      <w:r>
        <w:t xml:space="preserve"> Beziehungen (R6); </w:t>
      </w:r>
      <w:r>
        <w:rPr>
          <w:b/>
        </w:rPr>
        <w:t>Attribute an 1:n-Beziehungstypen</w:t>
      </w:r>
      <w:r>
        <w:t xml:space="preserve"> wandern in die Relation der n-Seite.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b/>
        </w:rPr>
        <w:t>Zusätzliches Schlüsselattribut</w:t>
      </w:r>
      <w:r>
        <w:t>, wenn dasselbe Paar (Trio) mehrfach vorkommen kann (z. B. Zeitpunkt in Aussage, Beginn bei einer Platzbuchung).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Notation nur Chen mit 1/n/m (ternär p) – keine (min,max)-, keine Krähenfuß-Notation.</w:t>
      </w:r>
    </w:p>
    <w:p>
      <w:pPr>
        <w:pStyle w:val="Heading1"/>
      </w:pPr>
      <w:r>
        <w:t>DS 9 · Baupläne lesen (Ermittlung 5.1)</w:t>
      </w:r>
    </w:p>
    <w:p>
      <w:pPr>
        <w:pStyle w:val="Heading2"/>
      </w:pPr>
      <w:r>
        <w:t>Ziele</w:t>
      </w:r>
    </w:p>
    <w:p>
      <w:r>
        <w:t>Die Schülerinnen und Schüler …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1.</w:t>
        <w:tab/>
      </w:r>
      <w:r>
        <w:rPr>
          <w:b/>
        </w:rPr>
        <w:t>benennen</w:t>
      </w:r>
      <w:r>
        <w:t xml:space="preserve"> die Elemente der Chen-Notation nach EH §7 und </w:t>
      </w:r>
      <w:r>
        <w:rPr>
          <w:b/>
        </w:rPr>
        <w:t>interpretieren</w:t>
      </w:r>
      <w:r>
        <w:t xml:space="preserve"> ein ER-Diagramm im Sachzusammenhang (K33, K47),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2.</w:t>
        <w:tab/>
      </w:r>
      <w:r>
        <w:rPr>
          <w:b/>
        </w:rPr>
        <w:t>bestimmen</w:t>
      </w:r>
      <w:r>
        <w:t xml:space="preserve"> Kardinalitäten 1:1, 1:n und n:m aus Texten, Mengendiagrammen und Tabellendaten und </w:t>
      </w:r>
      <w:r>
        <w:rPr>
          <w:b/>
        </w:rPr>
        <w:t>begründen</w:t>
      </w:r>
      <w:r>
        <w:t xml:space="preserve"> sie in beide Leserichtungen (K34),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3.</w:t>
        <w:tab/>
      </w:r>
      <w:r>
        <w:rPr>
          <w:b/>
        </w:rPr>
        <w:t>modellieren</w:t>
      </w:r>
      <w:r>
        <w:t xml:space="preserve"> Attribute an Beziehungstypen und </w:t>
      </w:r>
      <w:r>
        <w:rPr>
          <w:b/>
        </w:rPr>
        <w:t>begründen</w:t>
      </w:r>
      <w:r>
        <w:t>, warum sie zum Paar gehören (K36),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4.</w:t>
        <w:tab/>
      </w:r>
      <w:r>
        <w:rPr>
          <w:b/>
        </w:rPr>
        <w:t>verwenden</w:t>
      </w:r>
      <w:r>
        <w:t xml:space="preserve"> die Fachsprache der EH konsequent.</w:t>
      </w:r>
    </w:p>
    <w:p>
      <w:pPr>
        <w:pStyle w:val="Heading2"/>
      </w:pPr>
      <w:r>
        <w:t>Verlauf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1304"/>
        <w:gridCol w:w="793"/>
        <w:gridCol w:w="4082"/>
        <w:gridCol w:w="1360"/>
        <w:gridCol w:w="2097"/>
      </w:tblGrid>
      <w:tr>
        <w:trPr>
          <w:tblHeader/>
        </w:trPr>
        <w:tc>
          <w:tcPr>
            <w:tcW w:type="dxa" w:w="130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Phase</w:t>
            </w:r>
          </w:p>
        </w:tc>
        <w:tc>
          <w:tcPr>
            <w:tcW w:type="dxa" w:w="79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Zeit</w:t>
            </w:r>
          </w:p>
        </w:tc>
        <w:tc>
          <w:tcPr>
            <w:tcW w:type="dxa" w:w="4082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Inhalt / Ablauf</w:t>
            </w:r>
          </w:p>
        </w:tc>
        <w:tc>
          <w:tcPr>
            <w:tcW w:type="dxa" w:w="136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Sozialform</w:t>
            </w:r>
          </w:p>
        </w:tc>
        <w:tc>
          <w:tcPr>
            <w:tcW w:type="dxa" w:w="209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Material</w:t>
            </w:r>
          </w:p>
        </w:tc>
      </w:tr>
      <w:tr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Warm-up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0–10'</w:t>
            </w:r>
          </w:p>
        </w:tc>
        <w:tc>
          <w:tcPr>
            <w:tcW w:type="dxa" w:w="408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Karten W-A4-05 … 08 (Schlüsselkriterien, Ausschnitt-Falle, Zerlegung, zusammengelegte Tabelle)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EA → Team</w:t>
            </w:r>
          </w:p>
        </w:tc>
        <w:tc>
          <w:tcPr>
            <w:tcW w:type="dxa" w:w="209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Warm-up-Karten A4, Folie 2</w:t>
            </w:r>
          </w:p>
        </w:tc>
      </w:tr>
      <w:tr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Briefing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10–20'</w:t>
            </w:r>
          </w:p>
        </w:tc>
        <w:tc>
          <w:tcPr>
            <w:tcW w:type="dxa" w:w="408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Akte 5: „Bevor wir bauen, lernen wir Baupläne lesen.“ Chen-Notation am Plan Ermittler–leitet–Fall; Kardinalitäten, Leseschablone, Beziehungsattribut, Daten stützen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LV, UG</w:t>
            </w:r>
          </w:p>
        </w:tc>
        <w:tc>
          <w:tcPr>
            <w:tcW w:type="dxa" w:w="209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Folien 3–10</w:t>
            </w:r>
          </w:p>
        </w:tc>
      </w:tr>
      <w:tr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Unplugged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20–35'</w:t>
            </w:r>
          </w:p>
        </w:tc>
        <w:tc>
          <w:tcPr>
            <w:tcW w:type="dxa" w:w="408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Fäden-Kardinalitäten (siehe unten)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Plenum</w:t>
            </w:r>
          </w:p>
        </w:tc>
        <w:tc>
          <w:tcPr>
            <w:tcW w:type="dxa" w:w="209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Rollenkarten, Fäden, Etiketten, Folie 11</w:t>
            </w:r>
          </w:p>
        </w:tc>
      </w:tr>
      <w:tr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Lab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35–80'</w:t>
            </w:r>
          </w:p>
        </w:tc>
        <w:tc>
          <w:tcPr>
            <w:tcW w:type="dxa" w:w="408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Ermittlung 5.1 im Bauplan-Tisch (lesen/ergänzen, Listenmodus auf dem iPad); AB 5.1 parallel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EA</w:t>
            </w:r>
          </w:p>
        </w:tc>
        <w:tc>
          <w:tcPr>
            <w:tcW w:type="dxa" w:w="209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Geräte, AB 5.1, Folie 12</w:t>
            </w:r>
          </w:p>
        </w:tc>
      </w:tr>
      <w:tr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Fallbesprechung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80–90'</w:t>
            </w:r>
          </w:p>
        </w:tc>
        <w:tc>
          <w:tcPr>
            <w:tcW w:type="dxa" w:w="408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Leseschablone in beide Richtungen, Merkkasten, Abi-Ecke (4 BE), Cliffhanger: Juris 14 Entitätstypen ohne Kardinalität; Teams für DS 10 bilden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UG</w:t>
            </w:r>
          </w:p>
        </w:tc>
        <w:tc>
          <w:tcPr>
            <w:tcW w:type="dxa" w:w="209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Folien 13–16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Unplugged-Ablauf: Fäden-Kardinalitäten (15 Minuten)</w:t>
      </w:r>
    </w:p>
    <w:p>
      <w:r>
        <w:t>Material: Rollenkarten zum Umhängen (4 Ermittler, 6 Fälle, 6 Personen, 4 Dienstausweise – Kopiervorlage), Wollfäden in zwei Farben, Klebeetiketten. Was jede Karte verbinden soll, steht auf der Karte – die Lehrkraft moderiert nur. Bei kleinen Kursen übernehmen Personen zwei Karten.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1.</w:t>
        <w:tab/>
      </w:r>
      <w:r>
        <w:rPr>
          <w:b/>
        </w:rPr>
        <w:t>1:n · leitet:</w:t>
      </w:r>
      <w:r>
        <w:t xml:space="preserve"> Jede Fall-Karte nimmt einen Faden zu ihrer Leitung. Ablesen: Edda Lorenz 1 Faden; Maren Kolthoff 3 Fäden; Helge Saathoff 2 Fäden; Juri Brandes 0 Fäden – jeder Fall genau einen. Notation: Ermittler 1 – </w:t>
      </w:r>
      <w:r>
        <w:rPr>
          <w:i/>
        </w:rPr>
        <w:t>leitet</w:t>
      </w:r>
      <w:r>
        <w:t xml:space="preserve"> – n Fall.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2.</w:t>
        <w:tab/>
      </w:r>
      <w:r>
        <w:rPr>
          <w:b/>
        </w:rPr>
        <w:t>n:m · verdaechtig:</w:t>
      </w:r>
      <w:r>
        <w:t xml:space="preserve"> Personen spannen Fäden zu ihren Fällen (zweite Wollfarbe). Mehrere Fäden auf beiden Seiten: Fall 1: 2 Personen; Fall 2: 2 Personen; Fall 3: 2 Personen; Fall 5: 2 Personen; Fall 6: 2 Personen; Person 3 und 5 je zwei, Person 4 drei Fälle.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3.</w:t>
        <w:tab/>
      </w:r>
      <w:r>
        <w:rPr>
          <w:b/>
        </w:rPr>
        <w:t>1:1 · hat:</w:t>
      </w:r>
      <w:r>
        <w:t xml:space="preserve"> Jeder Ermittler zu seinem Dienstausweis (D-01 … D-04).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4.</w:t>
        <w:tab/>
      </w:r>
      <w:r>
        <w:rPr>
          <w:b/>
        </w:rPr>
        <w:t>Beziehungsattribut:</w:t>
      </w:r>
      <w:r>
        <w:t xml:space="preserve"> Das Etikett „Grad: hoch“ für Person 3 – Fall 2 kommt an den </w:t>
      </w:r>
      <w:r>
        <w:rPr>
          <w:b/>
        </w:rPr>
        <w:t>Faden</w:t>
      </w:r>
      <w:r>
        <w:t xml:space="preserve"> – Person 3 ist in Fall 5 nur „gering“ verdächtig, Fall 2 hat noch eine andere verdächtige Person.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5.</w:t>
        <w:tab/>
      </w:r>
      <w:r>
        <w:rPr>
          <w:b/>
        </w:rPr>
        <w:t>Impuls:</w:t>
      </w:r>
      <w:r>
        <w:t xml:space="preserve"> „Woran erkennt ihr in einer Tabelle, welche Kardinalität vorliegt?“ → Wert der Fremdschlüsselspalte kommt mehrfach vor → n-Seite.</w:t>
      </w:r>
    </w:p>
    <w:p>
      <w:r>
        <w:t>Sicherung: Foto der Fadennetze; Tafel: drei Kardinalitäten mit Leseschablone. Hinweis: Juri hält keinen Faden – bei 1:n darf ein Ermittler auch keinen Fall leiten.</w:t>
      </w:r>
    </w:p>
    <w:p>
      <w:pPr>
        <w:pStyle w:val="Heading2"/>
      </w:pPr>
      <w:r>
        <w:t>Tafelbild / Merkkasten „Ermittler-Notiz“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11324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14034085514486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132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4440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14034085514497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444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Leseschablone:</w:t>
      </w:r>
      <w:r>
        <w:t xml:space="preserve"> „Ein Ermittler leitet mehrere (n) Fälle; jeder Fall wird von genau einem (1) Ermittler geleitet.“ · „Eine Person kann in mehreren Fällen verdächtig sein, in einem Fall können mehrere Personen verdächtig sein (n:m); der Verdachtsgrad gehört zum Paar Person–Fall.“</w:t>
      </w:r>
    </w:p>
    <w:p>
      <w:r>
        <w:rPr>
          <w:b/>
        </w:rPr>
        <w:t>Kardinalität aus Daten:</w:t>
      </w:r>
      <w:r>
        <w:t xml:space="preserve"> Kommt in </w:t>
      </w:r>
      <w:r>
        <w:rPr>
          <w:rFonts w:ascii="IBM Plex Mono" w:hAnsi="IBM Plex Mono" w:eastAsia="IBM Plex Mono" w:cs="IBM Plex Mono"/>
          <w:sz w:val="19"/>
        </w:rPr>
        <w:t>verdaechtig</w:t>
      </w:r>
      <w:r>
        <w:t xml:space="preserve"> dieselbe PersonNr mit verschiedenen FallNr vor </w:t>
      </w:r>
      <w:r>
        <w:rPr>
          <w:b/>
        </w:rPr>
        <w:t>und</w:t>
      </w:r>
      <w:r>
        <w:t xml:space="preserve"> dieselbe FallNr mit verschiedenen PersonNr → n:m. Daten stützen nur, die Begründung kommt aus dem Sachzusammenhang. · Fachbegriffe: Entitätstyp, Beziehungstyp, Schlüsselattribut, Kardinalität.</w:t>
      </w:r>
    </w:p>
    <w:p>
      <w:pPr>
        <w:pStyle w:val="Heading2"/>
      </w:pPr>
      <w:r>
        <w:t>Typische Schwierigkeiten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Kardinalität an der falschen Kante (</w:t>
      </w:r>
      <w:r>
        <w:rPr>
          <w:b/>
        </w:rPr>
        <w:t>P9</w:t>
      </w:r>
      <w:r>
        <w:t xml:space="preserve">) → Leseschablone: Die Zahl steht beim Entitätstyp, über den man spricht („… leitet </w:t>
      </w:r>
      <w:r>
        <w:rPr>
          <w:i/>
        </w:rPr>
        <w:t>n Fälle</w:t>
      </w:r>
      <w:r>
        <w:t>“ → n an der Kante zu Fall).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 xml:space="preserve">Kardinalität aus wenigen Zeilen „bewiesen“ (vgl. </w:t>
      </w:r>
      <w:r>
        <w:rPr>
          <w:b/>
        </w:rPr>
        <w:t>P8</w:t>
      </w:r>
      <w:r>
        <w:t>) → Sachzusammenhang als Begründung.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Beziehungsattribut an einen Entitätstyp gehängt (</w:t>
      </w:r>
      <w:r>
        <w:rPr>
          <w:b/>
        </w:rPr>
        <w:t>P9</w:t>
      </w:r>
      <w:r>
        <w:t>) → Merkfrage „anderes Paar – anderer Wert?“.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Erläutern ohne Sachzusammenhang (</w:t>
      </w:r>
      <w:r>
        <w:rPr>
          <w:b/>
        </w:rPr>
        <w:t>P10</w:t>
      </w:r>
      <w:r>
        <w:t>) → „Erläutern ist kein vornehmes Wort für nennen.“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Altbegriffe aus älteren Materialien → konsequent korrigieren: Entitätstyp statt „Entitätsmenge“.</w:t>
      </w:r>
    </w:p>
    <w:p>
      <w:pPr>
        <w:pStyle w:val="Heading2"/>
      </w:pPr>
      <w:r>
        <w:t>Differenzierung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i/>
        </w:rPr>
        <w:t>Schnelle:</w:t>
      </w:r>
      <w:r>
        <w:t xml:space="preserve"> Cold Case „Dienstwagen“ (AB) und A5-E1-CC (Lab); Anforderungstext für DS 10 vorab lesen und Entitätstypen markieren.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i/>
        </w:rPr>
        <w:t>Langsame:</w:t>
      </w:r>
      <w:r>
        <w:t xml:space="preserve"> Listenmodus im Bauplan-Tisch, Werkzeugkarte 4, Fotos der Fadennetze als Erinnerung.</w:t>
      </w:r>
    </w:p>
    <w:p>
      <w:pPr>
        <w:pStyle w:val="Heading2"/>
      </w:pPr>
      <w:r>
        <w:t>Vorbereitung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Rollenkarten-Set (Kopiervorlage, laminiert, mit Band), Wollfäden in zwei Farben, Etiketten.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Akte 5 nur in eA-Kursen freischalten; Bauplan-Tisch auf den Schülergeräten testen (Touch, Listenmodus).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Warm-up-Karten A4 (05–08) kopieren.</w:t>
      </w:r>
    </w:p>
    <w:p>
      <w:pPr>
        <w:pStyle w:val="Heading1"/>
      </w:pPr>
      <w:r>
        <w:t>DS 10 · Der Architekturwettbewerb (Ermittlung 5.2)</w:t>
      </w:r>
    </w:p>
    <w:p>
      <w:pPr>
        <w:pStyle w:val="Heading2"/>
      </w:pPr>
      <w:r>
        <w:t>Ziele</w:t>
      </w:r>
    </w:p>
    <w:p>
      <w:r>
        <w:t>Die Schülerinnen und Schüler …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1.</w:t>
        <w:tab/>
      </w:r>
      <w:r>
        <w:rPr>
          <w:b/>
        </w:rPr>
        <w:t>entwickeln</w:t>
      </w:r>
      <w:r>
        <w:t xml:space="preserve"> ein ER-Modell aus einem Anforderungstext mit vollständigen Schlüsselattributen und Kardinalitäten (K35),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2.</w:t>
        <w:tab/>
      </w:r>
      <w:r>
        <w:rPr>
          <w:b/>
        </w:rPr>
        <w:t>modellieren</w:t>
      </w:r>
      <w:r>
        <w:t xml:space="preserve"> rekursive Beziehungen und mehrere Beziehungstypen zwischen denselben Entitätstypen, </w:t>
      </w:r>
      <w:r>
        <w:rPr>
          <w:b/>
        </w:rPr>
        <w:t>lesen</w:t>
      </w:r>
      <w:r>
        <w:t xml:space="preserve"> und </w:t>
      </w:r>
      <w:r>
        <w:rPr>
          <w:b/>
        </w:rPr>
        <w:t>ergänzen</w:t>
      </w:r>
      <w:r>
        <w:t xml:space="preserve"> ternäre Beziehungen (K37, K38),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3.</w:t>
        <w:tab/>
      </w:r>
      <w:r>
        <w:rPr>
          <w:b/>
        </w:rPr>
        <w:t>erweitern</w:t>
      </w:r>
      <w:r>
        <w:t xml:space="preserve"> ein gegebenes ER-Modell nach neuen Anforderungen (K39),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4.</w:t>
        <w:tab/>
      </w:r>
      <w:r>
        <w:rPr>
          <w:b/>
        </w:rPr>
        <w:t>beurteilen</w:t>
      </w:r>
      <w:r>
        <w:t xml:space="preserve"> Modellierungen und </w:t>
      </w:r>
      <w:r>
        <w:rPr>
          <w:b/>
        </w:rPr>
        <w:t>erläutern</w:t>
      </w:r>
      <w:r>
        <w:t xml:space="preserve"> Grenzen der Notation (K40).</w:t>
      </w:r>
    </w:p>
    <w:p>
      <w:pPr>
        <w:pStyle w:val="Heading2"/>
      </w:pPr>
      <w:r>
        <w:t>Verlauf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1304"/>
        <w:gridCol w:w="793"/>
        <w:gridCol w:w="4082"/>
        <w:gridCol w:w="1360"/>
        <w:gridCol w:w="2097"/>
      </w:tblGrid>
      <w:tr>
        <w:trPr>
          <w:tblHeader/>
        </w:trPr>
        <w:tc>
          <w:tcPr>
            <w:tcW w:type="dxa" w:w="130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Phase</w:t>
            </w:r>
          </w:p>
        </w:tc>
        <w:tc>
          <w:tcPr>
            <w:tcW w:type="dxa" w:w="79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Zeit</w:t>
            </w:r>
          </w:p>
        </w:tc>
        <w:tc>
          <w:tcPr>
            <w:tcW w:type="dxa" w:w="4082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Inhalt / Ablauf</w:t>
            </w:r>
          </w:p>
        </w:tc>
        <w:tc>
          <w:tcPr>
            <w:tcW w:type="dxa" w:w="136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Sozialform</w:t>
            </w:r>
          </w:p>
        </w:tc>
        <w:tc>
          <w:tcPr>
            <w:tcW w:type="dxa" w:w="209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Material</w:t>
            </w:r>
          </w:p>
        </w:tc>
      </w:tr>
      <w:tr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Warm-up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0–10'</w:t>
            </w:r>
          </w:p>
        </w:tc>
        <w:tc>
          <w:tcPr>
            <w:tcW w:type="dxa" w:w="408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Karten W-A5-01 … 04; Karte 03 gemeinsam auflösen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EA → Team</w:t>
            </w:r>
          </w:p>
        </w:tc>
        <w:tc>
          <w:tcPr>
            <w:tcW w:type="dxa" w:w="209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Warm-up-Karten A5, Folien 17–18</w:t>
            </w:r>
          </w:p>
        </w:tc>
      </w:tr>
      <w:tr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Briefing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10–20'</w:t>
            </w:r>
          </w:p>
        </w:tc>
        <w:tc>
          <w:tcPr>
            <w:tcW w:type="dxa" w:w="408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 xml:space="preserve">Neue Bausteine: rekursiv: </w:t>
            </w:r>
            <w:r>
              <w:rPr>
                <w:i/>
                <w:sz w:val="18"/>
              </w:rPr>
              <w:t>istPateVon</w:t>
            </w:r>
            <w:r>
              <w:rPr>
                <w:sz w:val="18"/>
              </w:rPr>
              <w:t xml:space="preserve"> → </w:t>
            </w:r>
            <w:r>
              <w:rPr>
                <w:i/>
                <w:sz w:val="18"/>
              </w:rPr>
              <w:t>betreut</w:t>
            </w:r>
            <w:r>
              <w:rPr>
                <w:sz w:val="18"/>
              </w:rPr>
              <w:t xml:space="preserve">; zwei Beziehungstypen (Heim/Gast); ternär: </w:t>
            </w:r>
            <w:r>
              <w:rPr>
                <w:i/>
                <w:sz w:val="18"/>
              </w:rPr>
              <w:t>sagtAus</w:t>
            </w:r>
            <w:r>
              <w:rPr>
                <w:sz w:val="18"/>
              </w:rPr>
              <w:t>; Beispiel Tierheim vom Text zum Modell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LV, UG</w:t>
            </w:r>
          </w:p>
        </w:tc>
        <w:tc>
          <w:tcPr>
            <w:tcW w:type="dxa" w:w="209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Folien 19–25</w:t>
            </w:r>
          </w:p>
        </w:tc>
      </w:tr>
      <w:tr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Wettbewerb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20–50'</w:t>
            </w:r>
          </w:p>
        </w:tc>
        <w:tc>
          <w:tcPr>
            <w:tcW w:type="dxa" w:w="408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Teams modellieren die Fall-Datenbank nach dem Anforderungstext (Plakat A2 oder Bauplan-Tisch, Modus entwickeln)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Teams</w:t>
            </w:r>
          </w:p>
        </w:tc>
        <w:tc>
          <w:tcPr>
            <w:tcW w:type="dxa" w:w="209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Anforderungstext, Plakate, Teamrollen, Folien 26–27</w:t>
            </w:r>
          </w:p>
        </w:tc>
      </w:tr>
      <w:tr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Galerie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50–65'</w:t>
            </w:r>
          </w:p>
        </w:tc>
        <w:tc>
          <w:tcPr>
            <w:tcW w:type="dxa" w:w="408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Galerie-Rundgang: jedes Team bewertet zwei fremde Entwürfe mit dem Bewertungsbogen; Siegerentwurf per Punktekleber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Teams, Plenum</w:t>
            </w:r>
          </w:p>
        </w:tc>
        <w:tc>
          <w:tcPr>
            <w:tcW w:type="dxa" w:w="209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Bewertungsbögen, Klebepunkte, Folie 28</w:t>
            </w:r>
          </w:p>
        </w:tc>
      </w:tr>
      <w:tr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Lab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65–85'</w:t>
            </w:r>
          </w:p>
        </w:tc>
        <w:tc>
          <w:tcPr>
            <w:tcW w:type="dxa" w:w="408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Ermittlung 5.2: 01–06 in der Stunde, 07/08 als Hausaufgabe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EA</w:t>
            </w:r>
          </w:p>
        </w:tc>
        <w:tc>
          <w:tcPr>
            <w:tcW w:type="dxa" w:w="209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Geräte, AB 5.2, Folie 29</w:t>
            </w:r>
          </w:p>
        </w:tc>
      </w:tr>
      <w:tr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Fallbesprechung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85–90'</w:t>
            </w:r>
          </w:p>
        </w:tc>
        <w:tc>
          <w:tcPr>
            <w:tcW w:type="dxa" w:w="408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Referenzlösung neben dem Siegerentwurf; Abweichungen als Alternativen würdigen (K40); Hausaufgabe AB 5.2, Lab 07/08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UG</w:t>
            </w:r>
          </w:p>
        </w:tc>
        <w:tc>
          <w:tcPr>
            <w:tcW w:type="dxa" w:w="209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Folien 30–34</w:t>
            </w:r>
          </w:p>
        </w:tc>
      </w:tr>
    </w:tbl>
    <w:p>
      <w:pPr>
        <w:spacing w:after="0" w:line="80" w:lineRule="exact"/>
      </w:pPr>
    </w:p>
    <w:p>
      <w:r>
        <w:rPr>
          <w:i/>
        </w:rPr>
        <w:t>Abweichung vom Standardtakt:</w:t>
      </w:r>
      <w:r>
        <w:t xml:space="preserve"> Wettbewerb und Galerie ersetzen den Großteil der Lab-Zeit (20' statt 45'); der Lab-Rest wird Hausaufgabe.</w:t>
      </w:r>
    </w:p>
    <w:p>
      <w:pPr>
        <w:pStyle w:val="Heading2"/>
      </w:pPr>
      <w:r>
        <w:t>Unplugged-Ablauf: Architekturwettbewerb mit Galerie-Rundgang (45 Minuten)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1.</w:t>
        <w:tab/>
      </w:r>
      <w:r>
        <w:rPr>
          <w:i/>
        </w:rPr>
        <w:t>Modellierphase (30'):</w:t>
      </w:r>
      <w:r>
        <w:t xml:space="preserve"> Rollen im Team – Moderation, Zeichner:in, Textprüfer:in (hakt jede Information im Text ab), Notationsprüfer:in (EH §7). Zeitansage nach 15'.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2.</w:t>
        <w:tab/>
      </w:r>
      <w:r>
        <w:rPr>
          <w:i/>
        </w:rPr>
        <w:t>Galerie (15'):</w:t>
      </w:r>
      <w:r>
        <w:t xml:space="preserve"> Plakate hängen aus; jedes Team bewertet zwei Entwürfe mit dem Bewertungsbogen (je Kriterium 1 Punkt) und dem Pflichtkommentar „Das würden wir übernehmen: …“.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3.</w:t>
        <w:tab/>
      </w:r>
      <w:r>
        <w:rPr>
          <w:i/>
        </w:rPr>
        <w:t>Siegerehrung:</w:t>
      </w:r>
      <w:r>
        <w:t xml:space="preserve"> Punktekleber; das Siegerteam erhält den Stempel ARCHITEKTUR (Kopiervorlage).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4.</w:t>
        <w:tab/>
      </w:r>
      <w:r>
        <w:rPr>
          <w:i/>
        </w:rPr>
        <w:t>Sicherung:</w:t>
      </w:r>
      <w:r>
        <w:t xml:space="preserve"> Fotos aller Plakate in den Kurs-Ordner; Referenzlösung im Lab nach A5-E2-07, auf Folie 30 nur für die Lehrkraft. Teamplakate für DS 11 aufheben!</w:t>
      </w:r>
    </w:p>
    <w:p>
      <w:r>
        <w:t>Bewertungsbogen = Kernpunkte der Referenzlösung: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1.</w:t>
        <w:tab/>
      </w:r>
      <w:r>
        <w:t>alle 5 Entitätstypen (Ermittler, Fall, Person, Ort, Beweisstück) mit Attributen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2.</w:t>
        <w:tab/>
      </w:r>
      <w:r>
        <w:t>Schlüsselattribute markiert (unterstrichen)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3.</w:t>
        <w:tab/>
      </w:r>
      <w:r>
        <w:rPr>
          <w:i/>
        </w:rPr>
        <w:t>leitet</w:t>
      </w:r>
      <w:r>
        <w:t xml:space="preserve"> 1:n richtig (n an der Kante zu Fall)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4.</w:t>
        <w:tab/>
      </w:r>
      <w:r>
        <w:rPr>
          <w:i/>
        </w:rPr>
        <w:t>betreut</w:t>
      </w:r>
      <w:r>
        <w:t xml:space="preserve"> rekursiv 1:n mit Rollen Mentor/Neuling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5.</w:t>
        <w:tab/>
      </w:r>
      <w:r>
        <w:rPr>
          <w:i/>
        </w:rPr>
        <w:t>kennt</w:t>
      </w:r>
      <w:r>
        <w:t xml:space="preserve"> rekursiv n:m mit Attribut Seit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6.</w:t>
        <w:tab/>
      </w:r>
      <w:r>
        <w:rPr>
          <w:i/>
        </w:rPr>
        <w:t>verdaechtig</w:t>
      </w:r>
      <w:r>
        <w:t xml:space="preserve"> n:m mit Attribut Grad an der Raute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7.</w:t>
        <w:tab/>
      </w:r>
      <w:r>
        <w:rPr>
          <w:i/>
        </w:rPr>
        <w:t>sagtAus</w:t>
      </w:r>
      <w:r>
        <w:t xml:space="preserve"> ternär (Person, Fall, Ort) mit Zeitpunkt und Inhalt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8.</w:t>
        <w:tab/>
      </w:r>
      <w:r>
        <w:t>Beweisstück 1:n zu Fall und 1:n zu Ort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9.</w:t>
        <w:tab/>
      </w:r>
      <w:r>
        <w:t>Fachsprache und Notation nach EH §7 (Verben, 1/n/m, Singular)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10.</w:t>
        <w:tab/>
      </w:r>
      <w:r>
        <w:t>Lesbarkeit (wenige Kreuzungen, klare Beschriftung)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7028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14034085646196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02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Tafelbild / Merkkasten „Ermittler-Notiz“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b/>
        </w:rPr>
        <w:t>Rekursiv</w:t>
      </w:r>
      <w:r>
        <w:t xml:space="preserve"> = Beziehungstyp mit zwei Kanten zum selben Entitätstyp; Rollen an die Kanten (Ermittler 1 Mentor – </w:t>
      </w:r>
      <w:r>
        <w:rPr>
          <w:i/>
        </w:rPr>
        <w:t>betreut</w:t>
      </w:r>
      <w:r>
        <w:t xml:space="preserve"> – n Neuling; Person n – </w:t>
      </w:r>
      <w:r>
        <w:rPr>
          <w:i/>
        </w:rPr>
        <w:t>kennt</w:t>
      </w:r>
      <w:r>
        <w:t xml:space="preserve"> – m Person mit Seit).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b/>
        </w:rPr>
        <w:t>Zwei Rollen</w:t>
      </w:r>
      <w:r>
        <w:t xml:space="preserve"> (Heim/Gast, Leitung/Verdacht) = zwei Beziehungstypen.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b/>
        </w:rPr>
        <w:t>Ternär</w:t>
      </w:r>
      <w:r>
        <w:t xml:space="preserve"> (m:n:p): eine Raute, drei Kanten; „wer – in welchem Fall – wo“ ist nur zu dritt eindeutig.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b/>
        </w:rPr>
        <w:t>Grenzen der Notation:</w:t>
      </w:r>
      <w:r>
        <w:t xml:space="preserve"> „genau drei Ermittler je Team“, „höchstens 12 Teilnehmende“, „Mentor muss höheren Dienstgrad haben“ → Anmerkung zum Modell.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b/>
        </w:rPr>
        <w:t>Beurteilen:</w:t>
      </w:r>
      <w:r>
        <w:t xml:space="preserve"> Alternativen benennen (Attribut vs. eigener Entitätstyp, n:m vs. aufgelöste Zwischenentität), Folgen abwägen, Urteil begründen.</w:t>
      </w:r>
    </w:p>
    <w:p>
      <w:pPr>
        <w:pStyle w:val="Heading2"/>
      </w:pPr>
      <w:r>
        <w:t>Typische Schwierigkeiten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Rekursive Beziehung als zweiter Entitätstyp „Mentor“ modelliert (</w:t>
      </w:r>
      <w:r>
        <w:rPr>
          <w:b/>
        </w:rPr>
        <w:t>P9</w:t>
      </w:r>
      <w:r>
        <w:t>) → Rollen an Kanten.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Ternäre Beziehung in drei binäre zerlegt – Information „wer – wo – in welchem Fall“ geht verloren.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Attribute vergessen oder Schlüsselattribute nicht markiert (</w:t>
      </w:r>
      <w:r>
        <w:rPr>
          <w:b/>
        </w:rPr>
        <w:t>P9</w:t>
      </w:r>
      <w:r>
        <w:t>).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Galerie-Bewertung zu oberflächlich → Bewertungsbogen mit Pflichtkommentar.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Zeit: Teams verlieren sich in Details → Textprüfer:in hakt ab, Zeitansage nach 15'.</w:t>
      </w:r>
    </w:p>
    <w:p>
      <w:pPr>
        <w:pStyle w:val="Heading2"/>
      </w:pPr>
      <w:r>
        <w:t>Differenzierung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i/>
        </w:rPr>
        <w:t>Schnelle:</w:t>
      </w:r>
      <w:r>
        <w:t xml:space="preserve"> Cold Cases (AB: Komplizenschaft in einem Fall – ternär und rekursiv; Lab A5-E2-CC), AB 5.2 Auftrag 3 (Vorgängerfall), Rolle Notationsprüfer:in.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i/>
        </w:rPr>
        <w:t>Langsame:</w:t>
      </w:r>
      <w:r>
        <w:t xml:space="preserve"> Startgerüst mit vorgegebenen Entitätstypen, Listenmodus, Werkzeugkarte 4; im Team die Rolle Textprüfer:in.</w:t>
      </w:r>
    </w:p>
    <w:p>
      <w:pPr>
        <w:pStyle w:val="Heading2"/>
      </w:pPr>
      <w:r>
        <w:t>Vorbereitung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Plakate A2, Stifte, Klebepunkte, Bewertungsbögen (zwei je Team), Teamrollen, Siegerstempel (Kopiervorlage Architekturwettbewerb); Anforderungstext als Folie 26.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Die Referenzlösung im Bauplan-Tisch erscheint erst nach dem Lösen von A5-E2-07 (serverseitig).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Warm-up-Karten A5 (01–04) kopieren.</w:t>
      </w:r>
    </w:p>
    <w:p>
      <w:pPr>
        <w:pStyle w:val="Heading1"/>
      </w:pPr>
      <w:r>
        <w:t>DS 11 · Vom Plan zur Datenbank (Ermittlung 5.3)</w:t>
      </w:r>
    </w:p>
    <w:p>
      <w:pPr>
        <w:pStyle w:val="Heading2"/>
      </w:pPr>
      <w:r>
        <w:t>Ziele</w:t>
      </w:r>
    </w:p>
    <w:p>
      <w:r>
        <w:t>Die Schülerinnen und Schüler …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1.</w:t>
        <w:tab/>
      </w:r>
      <w:r>
        <w:rPr>
          <w:b/>
        </w:rPr>
        <w:t>überführen</w:t>
      </w:r>
      <w:r>
        <w:t xml:space="preserve"> ein ER-Modell nach den Regeln R1–R6 (auch rekursiv, ternär, Beziehungsattribute) in ein Relationenschema in Kurzschreibweise (K41),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2.</w:t>
        <w:tab/>
      </w:r>
      <w:r>
        <w:rPr>
          <w:b/>
        </w:rPr>
        <w:t>begründen</w:t>
      </w:r>
      <w:r>
        <w:t xml:space="preserve"> die Umsetzungsregeln, insbesondere warum n:m eine eigene Relation braucht und 1:n nicht, und wann ein zusätzliches Schlüsselattribut nötig ist (K42),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3.</w:t>
        <w:tab/>
      </w:r>
      <w:r>
        <w:rPr>
          <w:b/>
        </w:rPr>
        <w:t>rekonstruieren</w:t>
      </w:r>
      <w:r>
        <w:t xml:space="preserve"> aus einem Relationenschema das ER-Diagramm (K43),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4.</w:t>
        <w:tab/>
      </w:r>
      <w:r>
        <w:rPr>
          <w:b/>
        </w:rPr>
        <w:t>entwerfen</w:t>
      </w:r>
      <w:r>
        <w:t xml:space="preserve"> Abfragen auf der Fall-Datenbank, auch mit Self-Join über rekursive Beziehungen (K23, K24, K16).</w:t>
      </w:r>
    </w:p>
    <w:p>
      <w:pPr>
        <w:pStyle w:val="Heading2"/>
      </w:pPr>
      <w:r>
        <w:t>Verlauf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1304"/>
        <w:gridCol w:w="793"/>
        <w:gridCol w:w="4082"/>
        <w:gridCol w:w="1360"/>
        <w:gridCol w:w="2097"/>
      </w:tblGrid>
      <w:tr>
        <w:trPr>
          <w:tblHeader/>
        </w:trPr>
        <w:tc>
          <w:tcPr>
            <w:tcW w:type="dxa" w:w="130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Phase</w:t>
            </w:r>
          </w:p>
        </w:tc>
        <w:tc>
          <w:tcPr>
            <w:tcW w:type="dxa" w:w="79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Zeit</w:t>
            </w:r>
          </w:p>
        </w:tc>
        <w:tc>
          <w:tcPr>
            <w:tcW w:type="dxa" w:w="4082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Inhalt / Ablauf</w:t>
            </w:r>
          </w:p>
        </w:tc>
        <w:tc>
          <w:tcPr>
            <w:tcW w:type="dxa" w:w="136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Sozialform</w:t>
            </w:r>
          </w:p>
        </w:tc>
        <w:tc>
          <w:tcPr>
            <w:tcW w:type="dxa" w:w="209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Material</w:t>
            </w:r>
          </w:p>
        </w:tc>
      </w:tr>
      <w:tr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Warm-up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0–10'</w:t>
            </w:r>
          </w:p>
        </w:tc>
        <w:tc>
          <w:tcPr>
            <w:tcW w:type="dxa" w:w="408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Karten W-A5-05 … 08 (rekursiv, ternär, Text → Mini-ER, Grenzen)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EA → Team</w:t>
            </w:r>
          </w:p>
        </w:tc>
        <w:tc>
          <w:tcPr>
            <w:tcW w:type="dxa" w:w="209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Warm-up-Karten A5, Folie 35</w:t>
            </w:r>
          </w:p>
        </w:tc>
      </w:tr>
      <w:tr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Briefing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10–20'</w:t>
            </w:r>
          </w:p>
        </w:tc>
        <w:tc>
          <w:tcPr>
            <w:tcW w:type="dxa" w:w="408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 xml:space="preserve">„Der Siegerentwurf steht – jetzt wird gebaut.“ Regeln fragend-entwickelnd: Wohin kommt der Verweis bei </w:t>
            </w:r>
            <w:r>
              <w:rPr>
                <w:i/>
                <w:sz w:val="18"/>
              </w:rPr>
              <w:t>leitet</w:t>
            </w:r>
            <w:r>
              <w:rPr>
                <w:sz w:val="18"/>
              </w:rPr>
              <w:t>? Warum kein FallNr in Person? Regeln R1–R6, Feinheiten, Rückrichtung, Self-Join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UG</w:t>
            </w:r>
          </w:p>
        </w:tc>
        <w:tc>
          <w:tcPr>
            <w:tcW w:type="dxa" w:w="209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Folien 36–42</w:t>
            </w:r>
          </w:p>
        </w:tc>
      </w:tr>
      <w:tr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Unplugged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20–35'</w:t>
            </w:r>
          </w:p>
        </w:tc>
        <w:tc>
          <w:tcPr>
            <w:tcW w:type="dxa" w:w="408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Regelkarten-Umzug mit dem eigenen Wettbewerbsplakat (siehe unten)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Teams</w:t>
            </w:r>
          </w:p>
        </w:tc>
        <w:tc>
          <w:tcPr>
            <w:tcW w:type="dxa" w:w="209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Regelkarten, Relationenkarten, Plakate, Folie 43</w:t>
            </w:r>
          </w:p>
        </w:tc>
      </w:tr>
      <w:tr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Lab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35–80'</w:t>
            </w:r>
          </w:p>
        </w:tc>
        <w:tc>
          <w:tcPr>
            <w:tcW w:type="dxa" w:w="408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Ermittlung 5.3: Schema-Werkbank (02, 04, 07), Rückrichtung (06), SQL mit Self-Join (08); AB 5.3 parallel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EA</w:t>
            </w:r>
          </w:p>
        </w:tc>
        <w:tc>
          <w:tcPr>
            <w:tcW w:type="dxa" w:w="209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Geräte, AB 5.3, Folie 44</w:t>
            </w:r>
          </w:p>
        </w:tc>
      </w:tr>
      <w:tr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Fallbesprechung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80–90'</w:t>
            </w:r>
          </w:p>
        </w:tc>
        <w:tc>
          <w:tcPr>
            <w:tcW w:type="dxa" w:w="408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Merkkasten Überführungsregeln mit Begründungen (Werkzeugkarte 5), Abi-Ecke (5 BE), Beweisstück „Ermittlungsnetz“, Cliffhanger; Hinweis Verhör 5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UG</w:t>
            </w:r>
          </w:p>
        </w:tc>
        <w:tc>
          <w:tcPr>
            <w:tcW w:type="dxa" w:w="209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Folien 45–50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Unplugged-Ablauf: Regelkarten-Umzug (15 Minuten)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1.</w:t>
        <w:tab/>
      </w:r>
      <w:r>
        <w:t>Material je Team: 6 Regelkarten (Vorderseite Regel, Rückseite Begründung), das eigene Plakat aus DS 10, leere Relationenkarten, rote und schwarze Stifte.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2.</w:t>
        <w:tab/>
      </w:r>
      <w:r>
        <w:t>Für jedes Rechteck eine Relationenkarte (R1), Schlüssel unterstrichen.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3.</w:t>
        <w:tab/>
      </w:r>
      <w:r>
        <w:t xml:space="preserve">Für jede Raute die passende Regelkarte ziehen und „umziehen“: Fremdschlüssel rot mit </w:t>
      </w:r>
      <w:r>
        <w:rPr>
          <w:rFonts w:ascii="IBM Plex Mono" w:hAnsi="IBM Plex Mono" w:eastAsia="IBM Plex Mono" w:cs="IBM Plex Mono"/>
          <w:color w:val="B3261E"/>
        </w:rPr>
        <w:t>↑</w:t>
      </w:r>
      <w:r>
        <w:t xml:space="preserve"> oder neue Karte (n:m, ternär, rekursiv n:m).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4.</w:t>
        <w:tab/>
      </w:r>
      <w:r>
        <w:t xml:space="preserve">Probe mit drei Beispielzeilen für </w:t>
      </w:r>
      <w:r>
        <w:rPr>
          <w:i/>
        </w:rPr>
        <w:t>verdaechtig</w:t>
      </w:r>
      <w:r>
        <w:t>: ohne Mehrfachwerte, ohne wiederholte Personendaten?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5.</w:t>
        <w:tab/>
      </w:r>
      <w:r>
        <w:t>Austausch zweier Teams: „Welche Regel habt ihr hier angewendet – und warum nicht eine andere?“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6.</w:t>
        <w:tab/>
      </w:r>
      <w:r>
        <w:t>Sicherung: Regelkarten bleiben laminiert im Team; Werkzeugkarte 5 im Ermittler-Handbuch.</w:t>
      </w:r>
    </w:p>
    <w:p>
      <w:pPr>
        <w:pStyle w:val="Heading2"/>
      </w:pPr>
      <w:r>
        <w:t>Tafelbild / Merkkasten „Ermittler-Notiz“ (Detektei)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1247"/>
        <w:gridCol w:w="2154"/>
        <w:gridCol w:w="3402"/>
        <w:gridCol w:w="2835"/>
      </w:tblGrid>
      <w:tr>
        <w:trPr>
          <w:tblHeader/>
        </w:trPr>
        <w:tc>
          <w:tcPr>
            <w:tcW w:type="dxa" w:w="124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Regel</w:t>
            </w:r>
          </w:p>
        </w:tc>
        <w:tc>
          <w:tcPr>
            <w:tcW w:type="dxa" w:w="215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ER</w:t>
            </w:r>
          </w:p>
        </w:tc>
        <w:tc>
          <w:tcPr>
            <w:tcW w:type="dxa" w:w="3402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Umsetzung (Detektei)</w:t>
            </w:r>
          </w:p>
        </w:tc>
        <w:tc>
          <w:tcPr>
            <w:tcW w:type="dxa" w:w="2835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Begründung</w:t>
            </w:r>
          </w:p>
        </w:tc>
      </w:tr>
      <w:tr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R1 Entitätstyp</w:t>
            </w:r>
          </w:p>
        </w:tc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Fall</w:t>
            </w:r>
          </w:p>
        </w:tc>
        <w:tc>
          <w:tcPr>
            <w:tcW w:type="dxa" w:w="340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Fall(</w:t>
            </w:r>
            <w:r>
              <w:rPr>
                <w:sz w:val="17"/>
                <w:u w:val="single"/>
              </w:rPr>
              <w:t>FallNr</w:t>
            </w:r>
            <w:r>
              <w:rPr>
                <w:sz w:val="17"/>
              </w:rPr>
              <w:t>, Titel, Eroeffnet, Status, …)</w:t>
            </w:r>
          </w:p>
        </w:tc>
        <w:tc>
          <w:tcPr>
            <w:tcW w:type="dxa" w:w="28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Schlüsselattribut → Primärschlüssel</w:t>
            </w:r>
          </w:p>
        </w:tc>
      </w:tr>
      <w:tr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R2 1:n</w:t>
            </w:r>
          </w:p>
        </w:tc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 xml:space="preserve">Ermittler 1 – </w:t>
            </w:r>
            <w:r>
              <w:rPr>
                <w:i/>
                <w:sz w:val="17"/>
              </w:rPr>
              <w:t>leitet</w:t>
            </w:r>
            <w:r>
              <w:rPr>
                <w:sz w:val="17"/>
              </w:rPr>
              <w:t xml:space="preserve"> – n Fall</w:t>
            </w:r>
          </w:p>
        </w:tc>
        <w:tc>
          <w:tcPr>
            <w:tcW w:type="dxa" w:w="340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Fall(</w:t>
            </w:r>
            <w:r>
              <w:rPr>
                <w:sz w:val="17"/>
                <w:u w:val="single"/>
              </w:rPr>
              <w:t>FallNr</w:t>
            </w:r>
            <w:r>
              <w:rPr>
                <w:sz w:val="17"/>
              </w:rPr>
              <w:t xml:space="preserve">, …, </w:t>
            </w:r>
            <w:r>
              <w:rPr>
                <w:rFonts w:ascii="IBM Plex Mono" w:hAnsi="IBM Plex Mono" w:eastAsia="IBM Plex Mono" w:cs="IBM Plex Mono"/>
                <w:color w:val="B3261E"/>
                <w:sz w:val="17"/>
              </w:rPr>
              <w:t>↑</w:t>
            </w:r>
            <w:r>
              <w:rPr>
                <w:sz w:val="17"/>
              </w:rPr>
              <w:t>LeiterNr)</w:t>
            </w:r>
          </w:p>
        </w:tc>
        <w:tc>
          <w:tcPr>
            <w:tcW w:type="dxa" w:w="28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ein Wert je Zeile auf der n-Seite; Beziehungsattribute ebenfalls dorthin</w:t>
            </w:r>
          </w:p>
        </w:tc>
      </w:tr>
      <w:tr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R3 n:m</w:t>
            </w:r>
          </w:p>
        </w:tc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 xml:space="preserve">Person n – </w:t>
            </w:r>
            <w:r>
              <w:rPr>
                <w:i/>
                <w:sz w:val="17"/>
              </w:rPr>
              <w:t>verdaechtig</w:t>
            </w:r>
            <w:r>
              <w:rPr>
                <w:sz w:val="17"/>
              </w:rPr>
              <w:t xml:space="preserve"> – m Fall</w:t>
            </w:r>
          </w:p>
        </w:tc>
        <w:tc>
          <w:tcPr>
            <w:tcW w:type="dxa" w:w="340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verdaechtig(</w:t>
            </w:r>
            <w:r>
              <w:rPr>
                <w:rFonts w:ascii="IBM Plex Mono" w:hAnsi="IBM Plex Mono" w:eastAsia="IBM Plex Mono" w:cs="IBM Plex Mono"/>
                <w:color w:val="B3261E"/>
                <w:sz w:val="17"/>
                <w:u w:val="single"/>
              </w:rPr>
              <w:t>↑</w:t>
            </w:r>
            <w:r>
              <w:rPr>
                <w:sz w:val="17"/>
                <w:u w:val="single"/>
              </w:rPr>
              <w:t>PersonNr</w:t>
            </w:r>
            <w:r>
              <w:rPr>
                <w:sz w:val="17"/>
              </w:rPr>
              <w:t xml:space="preserve">, </w:t>
            </w:r>
            <w:r>
              <w:rPr>
                <w:rFonts w:ascii="IBM Plex Mono" w:hAnsi="IBM Plex Mono" w:eastAsia="IBM Plex Mono" w:cs="IBM Plex Mono"/>
                <w:color w:val="B3261E"/>
                <w:sz w:val="17"/>
                <w:u w:val="single"/>
              </w:rPr>
              <w:t>↑</w:t>
            </w:r>
            <w:r>
              <w:rPr>
                <w:sz w:val="17"/>
                <w:u w:val="single"/>
              </w:rPr>
              <w:t>FallNr</w:t>
            </w:r>
            <w:r>
              <w:rPr>
                <w:sz w:val="17"/>
              </w:rPr>
              <w:t>, Grad)</w:t>
            </w:r>
          </w:p>
        </w:tc>
        <w:tc>
          <w:tcPr>
            <w:tcW w:type="dxa" w:w="28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auf keiner Seite passt ein Wert; Paar ist Schlüssel; Paar mehrfach → zusätzliches Schlüsselattribut</w:t>
            </w:r>
          </w:p>
        </w:tc>
      </w:tr>
      <w:tr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R4 1:1</w:t>
            </w:r>
          </w:p>
        </w:tc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 xml:space="preserve">Ermittler 1 – </w:t>
            </w:r>
            <w:r>
              <w:rPr>
                <w:i/>
                <w:sz w:val="17"/>
              </w:rPr>
              <w:t>hat</w:t>
            </w:r>
            <w:r>
              <w:rPr>
                <w:sz w:val="17"/>
              </w:rPr>
              <w:t xml:space="preserve"> – 1 Dienstausweis</w:t>
            </w:r>
          </w:p>
        </w:tc>
        <w:tc>
          <w:tcPr>
            <w:tcW w:type="dxa" w:w="340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Dienstausweis(</w:t>
            </w:r>
            <w:r>
              <w:rPr>
                <w:sz w:val="17"/>
                <w:u w:val="single"/>
              </w:rPr>
              <w:t>AusweisNr</w:t>
            </w:r>
            <w:r>
              <w:rPr>
                <w:sz w:val="17"/>
              </w:rPr>
              <w:t xml:space="preserve">, …, </w:t>
            </w:r>
            <w:r>
              <w:rPr>
                <w:rFonts w:ascii="IBM Plex Mono" w:hAnsi="IBM Plex Mono" w:eastAsia="IBM Plex Mono" w:cs="IBM Plex Mono"/>
                <w:color w:val="B3261E"/>
                <w:sz w:val="17"/>
              </w:rPr>
              <w:t>↑</w:t>
            </w:r>
            <w:r>
              <w:rPr>
                <w:sz w:val="17"/>
              </w:rPr>
              <w:t>ErmittlerNr)</w:t>
            </w:r>
          </w:p>
        </w:tc>
        <w:tc>
          <w:tcPr>
            <w:tcW w:type="dxa" w:w="28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FK auf einer Seite oder zusammenlegen</w:t>
            </w:r>
          </w:p>
        </w:tc>
      </w:tr>
      <w:tr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R5 rekursiv</w:t>
            </w:r>
          </w:p>
        </w:tc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i/>
                <w:sz w:val="17"/>
              </w:rPr>
              <w:t>betreut</w:t>
            </w:r>
            <w:r>
              <w:rPr>
                <w:sz w:val="17"/>
              </w:rPr>
              <w:t xml:space="preserve"> (1:n), </w:t>
            </w:r>
            <w:r>
              <w:rPr>
                <w:i/>
                <w:sz w:val="17"/>
              </w:rPr>
              <w:t>kennt</w:t>
            </w:r>
            <w:r>
              <w:rPr>
                <w:sz w:val="17"/>
              </w:rPr>
              <w:t xml:space="preserve"> (n:m)</w:t>
            </w:r>
          </w:p>
        </w:tc>
        <w:tc>
          <w:tcPr>
            <w:tcW w:type="dxa" w:w="340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 xml:space="preserve">Ermittler(…, </w:t>
            </w:r>
            <w:r>
              <w:rPr>
                <w:rFonts w:ascii="IBM Plex Mono" w:hAnsi="IBM Plex Mono" w:eastAsia="IBM Plex Mono" w:cs="IBM Plex Mono"/>
                <w:color w:val="B3261E"/>
                <w:sz w:val="17"/>
              </w:rPr>
              <w:t>↑</w:t>
            </w:r>
            <w:r>
              <w:rPr>
                <w:sz w:val="17"/>
              </w:rPr>
              <w:t>MentorNr) · kennt(</w:t>
            </w:r>
            <w:r>
              <w:rPr>
                <w:rFonts w:ascii="IBM Plex Mono" w:hAnsi="IBM Plex Mono" w:eastAsia="IBM Plex Mono" w:cs="IBM Plex Mono"/>
                <w:color w:val="B3261E"/>
                <w:sz w:val="17"/>
                <w:u w:val="single"/>
              </w:rPr>
              <w:t>↑</w:t>
            </w:r>
            <w:r>
              <w:rPr>
                <w:sz w:val="17"/>
                <w:u w:val="single"/>
              </w:rPr>
              <w:t>PersonNr</w:t>
            </w:r>
            <w:r>
              <w:rPr>
                <w:sz w:val="17"/>
              </w:rPr>
              <w:t xml:space="preserve">, </w:t>
            </w:r>
            <w:r>
              <w:rPr>
                <w:rFonts w:ascii="IBM Plex Mono" w:hAnsi="IBM Plex Mono" w:eastAsia="IBM Plex Mono" w:cs="IBM Plex Mono"/>
                <w:color w:val="B3261E"/>
                <w:sz w:val="17"/>
                <w:u w:val="single"/>
              </w:rPr>
              <w:t>↑</w:t>
            </w:r>
            <w:r>
              <w:rPr>
                <w:sz w:val="17"/>
                <w:u w:val="single"/>
              </w:rPr>
              <w:t>BekannterNr</w:t>
            </w:r>
            <w:r>
              <w:rPr>
                <w:sz w:val="17"/>
              </w:rPr>
              <w:t>, Seit)</w:t>
            </w:r>
          </w:p>
        </w:tc>
        <w:tc>
          <w:tcPr>
            <w:tcW w:type="dxa" w:w="28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wie R2/R3, Fremdschlüssel nach Rolle benannt</w:t>
            </w:r>
          </w:p>
        </w:tc>
      </w:tr>
      <w:tr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R6 ternär</w:t>
            </w:r>
          </w:p>
        </w:tc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 xml:space="preserve">Person, Fall, Ort – </w:t>
            </w:r>
            <w:r>
              <w:rPr>
                <w:i/>
                <w:sz w:val="17"/>
              </w:rPr>
              <w:t>sagtAus</w:t>
            </w:r>
          </w:p>
        </w:tc>
        <w:tc>
          <w:tcPr>
            <w:tcW w:type="dxa" w:w="340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Aussage(</w:t>
            </w:r>
            <w:r>
              <w:rPr>
                <w:rFonts w:ascii="IBM Plex Mono" w:hAnsi="IBM Plex Mono" w:eastAsia="IBM Plex Mono" w:cs="IBM Plex Mono"/>
                <w:color w:val="B3261E"/>
                <w:sz w:val="17"/>
                <w:u w:val="single"/>
              </w:rPr>
              <w:t>↑</w:t>
            </w:r>
            <w:r>
              <w:rPr>
                <w:sz w:val="17"/>
                <w:u w:val="single"/>
              </w:rPr>
              <w:t>PersonNr</w:t>
            </w:r>
            <w:r>
              <w:rPr>
                <w:sz w:val="17"/>
              </w:rPr>
              <w:t xml:space="preserve">, </w:t>
            </w:r>
            <w:r>
              <w:rPr>
                <w:rFonts w:ascii="IBM Plex Mono" w:hAnsi="IBM Plex Mono" w:eastAsia="IBM Plex Mono" w:cs="IBM Plex Mono"/>
                <w:color w:val="B3261E"/>
                <w:sz w:val="17"/>
                <w:u w:val="single"/>
              </w:rPr>
              <w:t>↑</w:t>
            </w:r>
            <w:r>
              <w:rPr>
                <w:sz w:val="17"/>
                <w:u w:val="single"/>
              </w:rPr>
              <w:t>FallNr</w:t>
            </w:r>
            <w:r>
              <w:rPr>
                <w:sz w:val="17"/>
              </w:rPr>
              <w:t xml:space="preserve">, </w:t>
            </w:r>
            <w:r>
              <w:rPr>
                <w:rFonts w:ascii="IBM Plex Mono" w:hAnsi="IBM Plex Mono" w:eastAsia="IBM Plex Mono" w:cs="IBM Plex Mono"/>
                <w:color w:val="B3261E"/>
                <w:sz w:val="17"/>
                <w:u w:val="single"/>
              </w:rPr>
              <w:t>↑</w:t>
            </w:r>
            <w:r>
              <w:rPr>
                <w:sz w:val="17"/>
                <w:u w:val="single"/>
              </w:rPr>
              <w:t>OrtNr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u w:val="single"/>
              </w:rPr>
              <w:t>Zeitpunkt</w:t>
            </w:r>
            <w:r>
              <w:rPr>
                <w:sz w:val="17"/>
              </w:rPr>
              <w:t>, Inhalt)</w:t>
            </w:r>
          </w:p>
        </w:tc>
        <w:tc>
          <w:tcPr>
            <w:tcW w:type="dxa" w:w="28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Zeitpunkt im Schlüssel: Gesa sagte zu Fall 1 im Fundbüro zweimal aus</w:t>
            </w:r>
          </w:p>
        </w:tc>
      </w:tr>
    </w:tbl>
    <w:p>
      <w:pPr>
        <w:spacing w:after="0" w:line="80" w:lineRule="exact"/>
      </w:pPr>
    </w:p>
    <w:p>
      <w:pPr>
        <w:pStyle w:val="SQL-Code"/>
      </w:pPr>
      <w:r>
        <w:t>SELECT e.Name AS Ermittler, m.Name AS Mentor</w:t>
        <w:br/>
        <w:t>FROM Ermittler e, Ermittler m</w:t>
        <w:br/>
        <w:t>WHERE e.MentorNr = m.ErmittlerNr</w:t>
        <w:br/>
        <w:t>ORDER BY m.Name, e.Name;</w:t>
      </w:r>
    </w:p>
    <w:tbl>
      <w:tblPr>
        <w:tblStyle w:val="Ergebnistabelle"/>
        <w:jc w:val="left"/>
        <w:tblLayout w:type="fixed"/>
        <w:tblLook w:firstColumn="1" w:firstRow="1" w:lastColumn="0" w:lastRow="0" w:noHBand="0" w:noVBand="1" w:val="04A0"/>
        <w:tblW w:w="3855" w:type="dxa"/>
      </w:tblPr>
      <w:tblGrid>
        <w:gridCol w:w="1927"/>
        <w:gridCol w:w="1927"/>
      </w:tblGrid>
      <w:tr>
        <w:trPr>
          <w:tblHeader/>
        </w:trPr>
        <w:tc>
          <w:tcPr>
            <w:tcW w:type="dxa" w:w="192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Ermittler</w:t>
            </w:r>
          </w:p>
        </w:tc>
        <w:tc>
          <w:tcPr>
            <w:tcW w:type="dxa" w:w="192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Mentor</w:t>
            </w:r>
          </w:p>
        </w:tc>
      </w:tr>
      <w:tr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Helge Saathoff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Edda Lorenz</w:t>
            </w:r>
          </w:p>
        </w:tc>
      </w:tr>
      <w:tr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Juri Brandes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Edda Lorenz</w:t>
            </w:r>
          </w:p>
        </w:tc>
      </w:tr>
      <w:tr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Maren Kolthoff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Edda Lorenz</w:t>
            </w:r>
          </w:p>
        </w:tc>
      </w:tr>
      <w:tr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Deniz Akgül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Helge Saathoff</w:t>
            </w:r>
          </w:p>
        </w:tc>
      </w:tr>
      <w:tr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Svea Hinners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Helge Saathoff</w:t>
            </w:r>
          </w:p>
        </w:tc>
      </w:tr>
      <w:tr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Lotta Wehrhahn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Imke Tiemann</w:t>
            </w:r>
          </w:p>
        </w:tc>
      </w:tr>
      <w:tr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Smilla Döscher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Imke Tiemann</w:t>
            </w:r>
          </w:p>
        </w:tc>
      </w:tr>
      <w:tr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Imke Tiemann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Maren Kolthoff</w:t>
            </w:r>
          </w:p>
        </w:tc>
      </w:tr>
      <w:tr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Jannik Rippen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Maren Kolthoff</w:t>
            </w:r>
          </w:p>
        </w:tc>
      </w:tr>
      <w:tr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Rasmus Uphoff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Svea Hinners</w:t>
            </w:r>
          </w:p>
        </w:tc>
      </w:tr>
    </w:tbl>
    <w:p>
      <w:pPr>
        <w:spacing w:after="0" w:line="80" w:lineRule="exact"/>
      </w:pPr>
    </w:p>
    <w:p>
      <w:r>
        <w:rPr>
          <w:b/>
        </w:rPr>
        <w:t>Ermittler-Notiz:</w:t>
      </w:r>
      <w:r>
        <w:t xml:space="preserve"> Self-Join = dieselbe Tabelle zweimal mit verschiedenen Aliasen, Verbund über den rekursiven Fremdschlüssel. Rückrichtung: eigene Schlüssel → Entitätstyp; Fremdschlüssel in einer Entitätsrelation → 1:n; Schlüssel aus zwei/drei Fremdschlüsseln → n:m bzw. ternär.</w:t>
      </w:r>
    </w:p>
    <w:p>
      <w:pPr>
        <w:pStyle w:val="Heading2"/>
      </w:pPr>
      <w:r>
        <w:t>Beweisstück „Ermittlungsnetz“ (Fallbesprechung)</w:t>
      </w:r>
    </w:p>
    <w:p>
      <w:pPr>
        <w:pStyle w:val="SQL-Code"/>
      </w:pPr>
      <w:r>
        <w:t>SELECT Person.PersonNr, Person.Vorname, Person.Nachname</w:t>
        <w:br/>
        <w:t>FROM Person, verdaechtig</w:t>
        <w:br/>
        <w:t>WHERE Person.PersonNr = verdaechtig.PersonNr</w:t>
        <w:br/>
        <w:t xml:space="preserve">  AND verdaechtig.FallNr IN (1, 2, 3, 4)</w:t>
        <w:br/>
        <w:t>GROUP BY Person.PersonNr, Person.Vorname, Person.Nachname</w:t>
        <w:br/>
        <w:t>HAVING COUNT(*) = 4;</w:t>
      </w:r>
    </w:p>
    <w:tbl>
      <w:tblPr>
        <w:tblStyle w:val="Ergebnistabelle"/>
        <w:jc w:val="left"/>
        <w:tblLayout w:type="fixed"/>
        <w:tblLook w:firstColumn="1" w:firstRow="1" w:lastColumn="0" w:lastRow="0" w:noHBand="0" w:noVBand="1" w:val="04A0"/>
        <w:tblW w:w="3628" w:type="dxa"/>
      </w:tblPr>
      <w:tblGrid>
        <w:gridCol w:w="1247"/>
        <w:gridCol w:w="1134"/>
        <w:gridCol w:w="1247"/>
      </w:tblGrid>
      <w:tr>
        <w:trPr>
          <w:tblHeader/>
        </w:trPr>
        <w:tc>
          <w:tcPr>
            <w:tcW w:type="dxa" w:w="124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PersonNr</w:t>
            </w:r>
          </w:p>
        </w:tc>
        <w:tc>
          <w:tcPr>
            <w:tcW w:type="dxa" w:w="113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Vorname</w:t>
            </w:r>
          </w:p>
        </w:tc>
        <w:tc>
          <w:tcPr>
            <w:tcW w:type="dxa" w:w="124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Nachname</w:t>
            </w:r>
          </w:p>
        </w:tc>
      </w:tr>
      <w:tr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13</w:t>
            </w:r>
          </w:p>
        </w:tc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Nora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Falter</w:t>
            </w:r>
          </w:p>
        </w:tc>
      </w:tr>
    </w:tbl>
    <w:p>
      <w:pPr>
        <w:spacing w:after="0" w:line="80" w:lineRule="exact"/>
      </w:pPr>
    </w:p>
    <w:p>
      <w:r>
        <w:t xml:space="preserve">Nora Falter ist als </w:t>
      </w:r>
      <w:r>
        <w:rPr>
          <w:b/>
        </w:rPr>
        <w:t>einzige</w:t>
      </w:r>
      <w:r>
        <w:t xml:space="preserve"> Person in allen vier Fällen verdächtig; über </w:t>
      </w:r>
      <w:r>
        <w:rPr>
          <w:i/>
        </w:rPr>
        <w:t>kennt</w:t>
      </w:r>
      <w:r>
        <w:t xml:space="preserve"> ist sie mit Menschen an allen Tatorten verbunden (Gesa Ohlendiek, Bent Hollwedel, Selin Aksoy, Wiebke Lüttjohann) und mit Keno Bargmann aus der IT der Stadtverwaltung – eine Insiderin. Cliffhanger: Eine Nora Falter ist in Weserstedt nicht gemeldet. (Variante gleichnamig: eine zweite Nora Falter – deshalb nach dem Schlüssel gruppieren.)</w:t>
      </w:r>
    </w:p>
    <w:p>
      <w:pPr>
        <w:pStyle w:val="Heading2"/>
      </w:pPr>
      <w:r>
        <w:t>Verhör 5 · Kletterhalle</w:t>
      </w:r>
    </w:p>
    <w:p>
      <w:r>
        <w:t xml:space="preserve">Pool von 15 Aufgaben (A5-V-01 … 15) zum Kontext Kletterhalle (nur ER und Schema, keine SQL-Aufgaben), Ziehung 8 Aufgaben (3 × </w:t>
      </w:r>
      <w:r>
        <w:rPr>
          <w:rFonts w:ascii="Segoe UI Symbol" w:hAnsi="Segoe UI Symbol" w:eastAsia="Segoe UI Symbol" w:cs="Segoe UI Symbol"/>
          <w:color w:val="94742B"/>
        </w:rPr>
        <w:t>★</w:t>
      </w:r>
      <w:r>
        <w:t xml:space="preserve">, 3 × </w:t>
      </w:r>
      <w:r>
        <w:rPr>
          <w:rFonts w:ascii="Segoe UI Symbol" w:hAnsi="Segoe UI Symbol" w:eastAsia="Segoe UI Symbol" w:cs="Segoe UI Symbol"/>
          <w:color w:val="94742B"/>
        </w:rPr>
        <w:t>★★</w:t>
      </w:r>
      <w:r>
        <w:t xml:space="preserve">, 2 × </w:t>
      </w:r>
      <w:r>
        <w:rPr>
          <w:rFonts w:ascii="Segoe UI Symbol" w:hAnsi="Segoe UI Symbol" w:eastAsia="Segoe UI Symbol" w:cs="Segoe UI Symbol"/>
          <w:color w:val="94742B"/>
        </w:rPr>
        <w:t>★★★</w:t>
      </w:r>
      <w:r>
        <w:t>), 20 Minuten, Abimodus streng, kein Feedback während des Verhörs. Nur eA. Freischaltung im Kurs: „auto“ oder „offen“ (Hausaufgabe bis DS 12). Video 6 freigeben.</w:t>
      </w:r>
    </w:p>
    <w:p>
      <w:pPr>
        <w:pStyle w:val="Heading2"/>
      </w:pPr>
      <w:r>
        <w:t>Typische Schwierigkeiten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 xml:space="preserve">Fremdschlüssel auf der 1-Seite (FallNr in Ermittler, </w:t>
      </w:r>
      <w:r>
        <w:rPr>
          <w:b/>
        </w:rPr>
        <w:t>P9</w:t>
      </w:r>
      <w:r>
        <w:t>) → Probedaten: Ein Ermittler mit drei Fällen braucht drei Werte in einer Zelle.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n:m ohne eigene Relation oder Beziehungsrelation ohne zusammengesetzten Schlüssel (</w:t>
      </w:r>
      <w:r>
        <w:rPr>
          <w:b/>
        </w:rPr>
        <w:t>P9</w:t>
      </w:r>
      <w:r>
        <w:t>).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Beziehungsattribut bei 1:n in die falsche Relation (</w:t>
      </w:r>
      <w:r>
        <w:rPr>
          <w:b/>
        </w:rPr>
        <w:t>P9</w:t>
      </w:r>
      <w:r>
        <w:t>) → gehört auf die n-Seite.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Rekursiver Fremdschlüssel gleich benannt wie der Primärschlüssel → Rollenname (MentorNr).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Self-Join ohne zwei Aliase oder Spalten ohne Alias-Präfix (</w:t>
      </w:r>
      <w:r>
        <w:rPr>
          <w:b/>
        </w:rPr>
        <w:t>P7</w:t>
      </w:r>
      <w:r>
        <w:t xml:space="preserve">); Ermittler ohne Mentor verschwinden (MentorNr NULL, </w:t>
      </w:r>
      <w:r>
        <w:rPr>
          <w:b/>
        </w:rPr>
        <w:t>P5</w:t>
      </w:r>
      <w:r>
        <w:t>).</w:t>
      </w:r>
    </w:p>
    <w:p>
      <w:pPr>
        <w:pStyle w:val="Heading2"/>
      </w:pPr>
      <w:r>
        <w:t>Differenzierung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i/>
        </w:rPr>
        <w:t>Schnelle:</w:t>
      </w:r>
      <w:r>
        <w:t xml:space="preserve"> Cold Case „Mentor-Kette“ (AB und Lab A5-E3-CC); eigene Wettbewerbslösung in der Schema-Werkbank nachbauen; Ausblick Kür K1 (eigene Datenbank).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i/>
        </w:rPr>
        <w:t>Langsame:</w:t>
      </w:r>
      <w:r>
        <w:t xml:space="preserve"> Regelkarten liegen aus; Schema-Werkbank mit Startzustand aus dem ER; Werkzeugkarte 5.</w:t>
      </w:r>
    </w:p>
    <w:p>
      <w:pPr>
        <w:pStyle w:val="Heading2"/>
      </w:pPr>
      <w:r>
        <w:t>Vorbereitung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Regelkarten-Set je Team (beidseitig gedruckt, laminiert), Relationenkarten; Teamplakate aus DS 10.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Verhör 5 im Kurs auf „auto“/„offen“; Video 6 freigeben; Warm-up-Karten A5 (05–08) kopieren.</w:t>
      </w:r>
    </w:p>
    <w:p>
      <w:pPr>
        <w:pStyle w:val="Heading2"/>
      </w:pPr>
      <w:r>
        <w:t>Hinweise zum Niveau</w:t>
      </w:r>
    </w:p>
    <w:p>
      <w:r>
        <w:t xml:space="preserve">Akte 5 ist </w:t>
      </w:r>
      <w:r>
        <w:rPr>
          <w:b/>
        </w:rPr>
        <w:t>nur eA</w:t>
      </w:r>
      <w:r>
        <w:t xml:space="preserve"> (alle Aufgaben, Arbeitsblätter und Verhör 5). Im gA-Kurs entfällt sie: Die Lehrkraft stellt „Niveau: gA“ ein, die Akte wird ausgeblendet, der Steckbrief-Hinweis der Akte wird beim Freischalten von Akte 6 automatisch aufgedeckt; das Warm-up in DS 12 nutzt dort W-A4-05 … 08. Die Arbeitsblätter sind nicht 1:1 die Lab-Aufgaben: Sie üben dieselben Kompetenzen mit anderen Beispielen (Mengendiagramme, Stadtbücherei, Entwurf „Hafenkante“, Komplizenschaft); die Abi-Ecken entsprechen den Operatoren begründen, erweitern und überführen/begründen (AFB II bzw. II/III).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Lehrerhinweise A5</w:t>
      <w:tab/>
    </w:r>
    <w:r>
      <w:rPr>
        <w:rFonts w:ascii="IBM Plex Mono" w:hAnsi="IBM Plex Mono" w:eastAsia="IBM Plex Mono" w:cs="IBM Plex Mono"/>
        <w:b/>
        <w:color w:val="B3261E"/>
        <w:sz w:val="12"/>
        <w:spacing w:val="12"/>
      </w:rPr>
      <w:t>NUR LEHRKRAFT</w:t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5 · DER BAUPLAN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Lehrerhinweise Akte 5</dc:title>
  <dc:subject>Der Bauplan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5</vt:lpwstr>
  </property>
  <property fmtid="{D5CDD505-2E9C-101B-9397-08002B2CF9AE}" pid="3" name="DD-Art">
    <vt:lpwstr>lehrerhinweise</vt:lpwstr>
  </property>
  <property fmtid="{D5CDD505-2E9C-101B-9397-08002B2CF9AE}" pid="4" name="DD-Datenbank">
    <vt:lpwstr>detektei</vt:lpwstr>
  </property>
  <property fmtid="{D5CDD505-2E9C-101B-9397-08002B2CF9AE}" pid="5" name="DD-Fassung">
    <vt:lpwstr>lehrkraft</vt:lpwstr>
  </property>
  <property fmtid="{D5CDD505-2E9C-101B-9397-08002B2CF9AE}" pid="6" name="DD-Kuer">
    <vt:lpwstr>nein</vt:lpwstr>
  </property>
  <property fmtid="{D5CDD505-2E9C-101B-9397-08002B2CF9AE}" pid="7" name="DD-Material">
    <vt:lpwstr>Lehrerhinweise A5</vt:lpwstr>
  </property>
</Properties>
</file>