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F4E8C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1_933b36bad32b4e5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F4E8C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1 · DAS HAUS DER WEISHEIT</w:t>
            </w:r>
          </w:p>
        </w:tc>
        <w:tc>
          <w:tcPr>
            <w:tcW w:type="dxa" w:w="2268"/>
            <w:shd w:val="clear" w:color="auto" w:fill="1F4E8C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5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W1·3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Fremde Chiffre II: Der Nomenklator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Im Archiv liegt neben Al-Kindis Schrift ein dickes Heft: eine Liste von Wörtern mit Zahlen dahinter. Solche Codebücher – man nennt sie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Nomenklatoren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wurden erst Jahrhunderte später in den Kanzleien Europas berühmt. Sie wurden genau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gegen Al-Kindis Methode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gebaut: Wenn die häufigsten Wörter gar nicht mehr als Buchstaben auftauchen, was soll Eve dann zählen? Wende die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5-Schritte-Methode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an und finde es heraus.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MATERIAL · NOMEN-850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Codebuch: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312"/>
              <w:gridCol w:w="1312"/>
              <w:gridCol w:w="1312"/>
              <w:gridCol w:w="1312"/>
              <w:gridCol w:w="1312"/>
              <w:gridCol w:w="1312"/>
              <w:gridCol w:w="1312"/>
            </w:tblGrid>
            <w:tr>
              <w:trPr>
                <w:cantSplit/>
              </w:trPr>
              <w:tc>
                <w:tcPr>
                  <w:tcW w:type="dxa" w:w="131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Wort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bagdad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basra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der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die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gold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kalif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1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Code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35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90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39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58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27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47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1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Wort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karawane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morgen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nacht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seide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und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wesir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1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Code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62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74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81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53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16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18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Blender: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99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(bedeutungslos).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Buchstabenteil: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Schlüsselwort-Alphabet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TUSCHE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: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077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</w:tblGrid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  <w:t>Klartext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W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Y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  <w:t>Geheimtext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W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Y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Z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Regeln: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Jedes Wort des Klartextes wird, wenn es im Codebuch steht, durch seine zweistellige Zahl ersetzt, sonst Buchstabe für Buchstabe substituiert. Wortgrenzen entfallen; Blender dürfen nach jedem Wort eingefügt werden. Der Geheimtext wird in Fünfergruppen geschrieben (Ziffern und Buchstaben gemischt). Zahlen sind immer zweistellig.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Beispiel: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„die karawane erreicht basra am morgen“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5862H OOHDS BQ90T J74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· CODE UND CHIFFRE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Code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ersetzt ganze Wörter oder Silben nach einem Codebuch, eine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Chiffre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ersetzt Buchstaben nach einer Regel. Ist das Codebuch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geheim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ist es ein Teil des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Schlüssels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also Verschlüsselung, keine öffentliche Codierung.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Blender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(Nullen) sind bedeutungslose Zeichen, die Muster verwischen sollen.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BF3E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DIE 5-SCHRITTE-METHODE (WERKZEUGKARTE WK2)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F4E8C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Lesen und nachrechnen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das Beispiel des Materials selbst nachrechnen.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F4E8C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Anwenden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verschlüsseln, jede Regel abhaken.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F4E8C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Umkehren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entschlüsseln, jede Stufe rückgängig machen.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F4E8C"/>
                <w:sz w:val="22"/>
              </w:rPr>
              <w:t>4.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Einordnen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Transposition/Substitution? mono/poly? Code/Codierung?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F4E8C"/>
                <w:sz w:val="22"/>
              </w:rPr>
              <w:t>5.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Kriterien prüfen (WK3), begründen, Urteil formulieren.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1 · Lesen und nachrechnen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Beispiel des Materials (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5862H OOHDS BQ90T J74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)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nach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: Wie wird jedes Wort behandelt?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2608"/>
        <w:gridCol w:w="5216"/>
      </w:tblGrid>
      <w:tr>
        <w:trPr>
          <w:cantSplit/>
          <w:tblHeader/>
        </w:trPr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Wort</w:t>
            </w:r>
          </w:p>
        </w:tc>
        <w:tc>
          <w:tcPr>
            <w:tcW w:type="dxa" w:w="260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Code oder Buchstaben?</w:t>
            </w:r>
          </w:p>
        </w:tc>
        <w:tc>
          <w:tcPr>
            <w:tcW w:type="dxa" w:w="5216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Ergebnis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die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karawane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erreicht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basra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am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morgen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2 · Anwenden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„die seide liegt in basra“ und füge nach „liegt“ den Blender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00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ein. Schreibe in Fünfergruppen.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3 · Umkehren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🔍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abgefangenen Brief.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wie du Ziffern und Buchstaben zerlegt hast.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left w:val="single" w:sz="18" w:space="0" w:color="1F4E8C"/>
            </w:tcBorders>
            <w:shd w:val="clear" w:color="auto" w:fill="F2EADB"/>
            <w:tcMar>
              <w:top w:w="80" w:type="dxa"/>
              <w:start w:w="160" w:type="dxa"/>
              <w:bottom w:w="8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cs="Calibri" w:eastAsia="Calibri"/>
                <w:b/>
                <w:color w:val="4A4A55"/>
                <w:spacing w:val="10"/>
                <w:sz w:val="17"/>
              </w:rPr>
              <w:t>ABGEFANGEN · NOMEN-850</w:t>
              <w:br/>
            </w:r>
            <w:r>
              <w:rPr>
                <w:rFonts w:ascii="Consolas" w:hAnsi="Consolas" w:cs="Consolas" w:eastAsia="Consolas"/>
                <w:b/>
                <w:color w:val="1B1B1F"/>
                <w:spacing w:val="24"/>
                <w:sz w:val="23"/>
              </w:rPr>
              <w:t>39470 0PSBD SGQPD HUHKQ ORBHK</w:t>
            </w:r>
          </w:p>
        </w:tc>
      </w:tr>
    </w:tbl>
    <w:p>
      <w:pPr>
        <w:spacing w:before="0" w:after="0" w:line="240" w:lineRule="auto"/>
        <w:rPr>
          <w:sz w:val="12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4 · Einordnen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Ordne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Nomenklator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ein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: Transposition oder Substitution? Mono- oder polyalphabetisch? Code oder Codierung?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jeweils.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5a · Al-Kindi gegen das Codebuch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Erläutere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wie sich das Codebuch auf eine Häufigkeitsanalyse auswirkt. Welche Buchstaben fehlen im Buchstabenteil besonders?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r>
        <w:br w:type="page"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5b · Das Urteil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Beurteile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Nomenklator nach diesen Kriterien und formuliere ein Urteil: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494"/>
        <w:gridCol w:w="7030"/>
      </w:tblGrid>
      <w:tr>
        <w:trPr>
          <w:cantSplit/>
          <w:tblHeader/>
        </w:trPr>
        <w:tc>
          <w:tcPr>
            <w:tcW w:type="dxa" w:w="24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Kriterium</w:t>
            </w:r>
          </w:p>
        </w:tc>
        <w:tc>
          <w:tcPr>
            <w:tcW w:type="dxa" w:w="703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Bewertung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Häufigkeitsanalyse</w:t>
            </w:r>
          </w:p>
        </w:tc>
        <w:tc>
          <w:tcPr>
            <w:tcW w:type="dxa" w:w="703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br/>
            </w:r>
          </w:p>
        </w:tc>
      </w:tr>
      <w:tr>
        <w:trPr>
          <w:cantSplit/>
        </w:trPr>
        <w:tc>
          <w:tcPr>
            <w:tcW w:type="dxa" w:w="249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Known-Plaintext</w:t>
            </w:r>
          </w:p>
        </w:tc>
        <w:tc>
          <w:tcPr>
            <w:tcW w:type="dxa" w:w="703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br/>
            </w:r>
          </w:p>
        </w:tc>
      </w:tr>
      <w:tr>
        <w:trPr>
          <w:cantSplit/>
        </w:trPr>
        <w:tc>
          <w:tcPr>
            <w:tcW w:type="dxa" w:w="249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Kerckhoffs-Prinzip</w:t>
            </w:r>
          </w:p>
        </w:tc>
        <w:tc>
          <w:tcPr>
            <w:tcW w:type="dxa" w:w="703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br/>
            </w:r>
          </w:p>
        </w:tc>
      </w:tr>
      <w:tr>
        <w:trPr>
          <w:cantSplit/>
        </w:trPr>
        <w:tc>
          <w:tcPr>
            <w:tcW w:type="dxa" w:w="249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Schlüsselaustausch (Größe des Codebuchs)</w:t>
            </w:r>
          </w:p>
        </w:tc>
        <w:tc>
          <w:tcPr>
            <w:tcW w:type="dxa" w:w="703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br/>
            </w:r>
          </w:p>
        </w:tc>
      </w:tr>
      <w:tr>
        <w:trPr>
          <w:cantSplit/>
        </w:trPr>
        <w:tc>
          <w:tcPr>
            <w:tcW w:type="dxa" w:w="249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Blender</w:t>
            </w:r>
          </w:p>
        </w:tc>
        <w:tc>
          <w:tcPr>
            <w:tcW w:type="dxa" w:w="703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br/>
            </w:r>
          </w:p>
        </w:tc>
      </w:tr>
      <w:tr>
        <w:trPr>
          <w:cantSplit/>
        </w:trPr>
        <w:tc>
          <w:tcPr>
            <w:tcW w:type="dxa" w:w="249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Urteil</w:t>
            </w:r>
          </w:p>
        </w:tc>
        <w:tc>
          <w:tcPr>
            <w:tcW w:type="dxa" w:w="703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br/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7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Ein besserer Nomenklator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Entwirf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zwei Verbesserungen des NOMEN-850, die gezielt die Schwächen aus Auftrag 6 angreifen,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jeweils, was Eve dadurch schwerer fällt und welcher neue Nachteil entsteht.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20 min · Material NOMEN-850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12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den Klartext zum Geheimtext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7400O HDQHQ 3918J DQ003 962KT SB90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die Aufgabe der Blender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99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 Sie begründet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ob die folgende Aussage korrekt ist: „Erbeutet Eve einen einzigen Klartext mit zugehörigem Geheimtext, kann sie alle künftigen Nachrichten vollständig lesen.“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die Sicherheit des Verfahrens unter Berücksichtigung des Kerckhoffs-Prinzips.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[4 BE]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1F4E8C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1.3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Level 1.3 „Fremde Chiffre II: Der Nomenklator“ im Kryptolabor; danach wartet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Boss „Der Kalif und der Kurier“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(frei ab 60 % der Level-Punkte). Werkzeug: Substitutions-Werkbank (für den Buchstabenteil).</w:t>
            </w:r>
          </w:p>
        </w:tc>
        <w:tc>
          <w:tcPr>
            <w:tcW w:type="dxa" w:w="1644"/>
            <w:tcBorders>
              <w:top w:val="double" w:sz="6" w:space="0" w:color="1F4E8C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c1e15d6b97c54b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W1·3 · Fremde Chiffre II: Der Nomenklator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