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90"/>
        <w:gridCol w:w="6066"/>
        <w:gridCol w:w="2268"/>
      </w:tblGrid>
      <w:tr>
        <w:tc>
          <w:tcPr>
            <w:tcW w:type="dxa" w:w="1191"/>
            <w:vMerge w:val="restart"/>
            <w:shd w:val="clear" w:color="auto" w:fill="7A2E2E"/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" cy="55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gel2_7d3f73e380808cd5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5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6"/>
            <w:shd w:val="clear" w:color="auto" w:fill="7A2E2E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7"/>
              </w:rPr>
              <w:t>KRYPTOS · WELT 2 · LE CHIFFRE INDÉCHIFFRABLE</w:t>
            </w:r>
          </w:p>
        </w:tc>
        <w:tc>
          <w:tcPr>
            <w:tcW w:type="dxa" w:w="2268"/>
            <w:shd w:val="clear" w:color="auto" w:fill="7A2E2E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8"/>
              </w:rPr>
              <w:t>DS 8</w:t>
            </w:r>
          </w:p>
        </w:tc>
      </w:tr>
      <w:tr>
        <w:tc>
          <w:tcPr>
            <w:tcW w:type="dxa" w:w="1191"/>
            <w:vMerge/>
          </w:tcPr>
          <w:p/>
        </w:tc>
        <w:tc>
          <w:tcPr>
            <w:tcW w:type="dxa" w:w="6066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color w:val="4A4A55"/>
                <w:spacing w:val="10"/>
                <w:sz w:val="19"/>
              </w:rPr>
              <w:t>AKTE W2·4</w:t>
            </w:r>
          </w:p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14213D"/>
                <w:sz w:val="34"/>
              </w:rPr>
              <w:t>Playfair und Kreuzquadrat</w:t>
            </w:r>
          </w:p>
        </w:tc>
        <w:tc>
          <w:tcPr>
            <w:tcW w:type="dxa" w:w="2268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40"/>
              <w:jc w:val="right"/>
            </w:pP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14213D"/>
              </w:rPr>
              <w:t xml:space="preserve"> KERN </w:t>
            </w:r>
          </w:p>
          <w:p>
            <w:pPr>
              <w:spacing w:before="120" w:after="0"/>
              <w:jc w:val="right"/>
            </w:pPr>
            <w:r>
              <w:rPr>
                <w:rFonts w:ascii="Calibri" w:hAnsi="Calibri" w:cs="Calibri" w:eastAsia="Calibri"/>
                <w:color w:val="4A4A55"/>
                <w:sz w:val="18"/>
              </w:rPr>
              <w:t>Name: ________________</w:t>
            </w:r>
          </w:p>
        </w:tc>
      </w:tr>
    </w:tbl>
    <w:p>
      <w:pPr>
        <w:spacing w:before="0" w:after="4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B07D2B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21"/>
              </w:rPr>
              <w:t>ARCHIVFUND · FREMDE CHIFFRE III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London, 1854. Charles Wheatstone erfindet ein Verfahren, das nicht einzelne Buchstaben, sondern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Paare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verschlüsselt – sein Freund Lyon Playfair macht es berühmt. Ein Paar hat 600 Möglichkeiten statt 26: Ist das der Ausweg aus Kasiskis Spur? Danach wartet in Eves Schreibstube ein fremdes Verfahren, das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Kreuzquadrat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 Du gehst vor wie im Abitur: anwenden, einordnen, beurteilen.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7A2E2E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1 · DAS PLAYFAIR-QUADRAT</w:t>
            </w:r>
          </w:p>
          <w:tbl>
            <w:tblPr>
              <w:tblW w:type="dxa" w:w="918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5327"/>
              <w:gridCol w:w="3857"/>
            </w:tblGrid>
            <w:tr>
              <w:tc>
                <w:tcPr>
                  <w:tcW w:type="dxa" w:w="5327"/>
                  <w:tcMar>
                    <w:top w:w="0" w:type="dxa"/>
                    <w:start w:w="0" w:type="dxa"/>
                    <w:bottom w:w="0" w:type="dxa"/>
                    <w:end w:w="120" w:type="dxa"/>
                  </w:tcMar>
                </w:tcPr>
                <w:p>
                  <w:pPr>
                    <w:spacing w:after="0"/>
                  </w:pP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Schlüsselwort ohne doppelte Buchstaben zeilenweise eintragen, Rest des Alphabets in alphabetischer Reihenfolge auffüllen,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2"/>
                    </w:rPr>
                    <w:t>I und J werden zusammengefasst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 (25 Felder).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1B1B1F"/>
                      <w:sz w:val="22"/>
                    </w:rPr>
                    <w:t>Beispiel: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 Schlüsselwort RIALTO (rechts). Die Zeilen und Spalten sind von 1 bis 5 nummeriert.</w:t>
                  </w:r>
                </w:p>
              </w:tc>
              <w:tc>
                <w:tcPr>
                  <w:tcW w:type="dxa" w:w="3857"/>
                  <w:tcMar>
                    <w:top w:w="0" w:type="dxa"/>
                    <w:start w:w="120" w:type="dxa"/>
                    <w:bottom w:w="0" w:type="dxa"/>
                    <w:end w:w="0" w:type="dxa"/>
                  </w:tcMar>
                </w:tcPr>
                <w:p>
                  <w:pPr>
                    <w:spacing w:after="0"/>
                  </w:pPr>
                </w:p>
                <w:tbl>
                  <w:tblPr>
                    <w:tblW w:type="dxa" w:w="3231"/>
                    <w:jc w:val="center"/>
                    <w:tblBorders>
                      <w:top w:val="single" w:sz="4" w:space="0" w:color="4A4A55"/>
                      <w:left w:val="single" w:sz="4" w:space="0" w:color="4A4A55"/>
                      <w:bottom w:val="single" w:sz="4" w:space="0" w:color="4A4A55"/>
                      <w:right w:val="single" w:sz="4" w:space="0" w:color="4A4A55"/>
                      <w:insideH w:val="single" w:sz="4" w:space="0" w:color="4A4A55"/>
                      <w:insideV w:val="single" w:sz="4" w:space="0" w:color="4A4A55"/>
                    </w:tblBorders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538"/>
                    <w:gridCol w:w="538"/>
                    <w:gridCol w:w="538"/>
                    <w:gridCol w:w="538"/>
                    <w:gridCol w:w="538"/>
                    <w:gridCol w:w="538"/>
                  </w:tblGrid>
                  <w:tr>
                    <w:tc>
                      <w:tcPr>
                        <w:tcW w:type="dxa" w:w="539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</w:r>
                      </w:p>
                    </w:tc>
                    <w:tc>
                      <w:tcPr>
                        <w:tcW w:type="dxa" w:w="539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type="dxa" w:w="539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2</w:t>
                        </w:r>
                      </w:p>
                    </w:tc>
                    <w:tc>
                      <w:tcPr>
                        <w:tcW w:type="dxa" w:w="539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3</w:t>
                        </w:r>
                      </w:p>
                    </w:tc>
                    <w:tc>
                      <w:tcPr>
                        <w:tcW w:type="dxa" w:w="539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4</w:t>
                        </w:r>
                      </w:p>
                    </w:tc>
                    <w:tc>
                      <w:tcPr>
                        <w:tcW w:type="dxa" w:w="539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5</w:t>
                        </w:r>
                      </w:p>
                    </w:tc>
                  </w:tr>
                  <w:tr>
                    <w:tc>
                      <w:tcPr>
                        <w:tcW w:type="dxa" w:w="539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type="dxa" w:w="539"/>
                        <w:shd w:val="clear" w:color="auto" w:fill="F3E1C3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R</w:t>
                        </w:r>
                      </w:p>
                    </w:tc>
                    <w:tc>
                      <w:tcPr>
                        <w:tcW w:type="dxa" w:w="539"/>
                        <w:shd w:val="clear" w:color="auto" w:fill="F3E1C3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I</w:t>
                        </w:r>
                      </w:p>
                    </w:tc>
                    <w:tc>
                      <w:tcPr>
                        <w:tcW w:type="dxa" w:w="539"/>
                        <w:shd w:val="clear" w:color="auto" w:fill="F3E1C3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A</w:t>
                        </w:r>
                      </w:p>
                    </w:tc>
                    <w:tc>
                      <w:tcPr>
                        <w:tcW w:type="dxa" w:w="539"/>
                        <w:shd w:val="clear" w:color="auto" w:fill="F3E1C3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L</w:t>
                        </w:r>
                      </w:p>
                    </w:tc>
                    <w:tc>
                      <w:tcPr>
                        <w:tcW w:type="dxa" w:w="539"/>
                        <w:shd w:val="clear" w:color="auto" w:fill="F3E1C3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T</w:t>
                        </w:r>
                      </w:p>
                    </w:tc>
                  </w:tr>
                  <w:tr>
                    <w:tc>
                      <w:tcPr>
                        <w:tcW w:type="dxa" w:w="539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2</w:t>
                        </w:r>
                      </w:p>
                    </w:tc>
                    <w:tc>
                      <w:tcPr>
                        <w:tcW w:type="dxa" w:w="539"/>
                        <w:shd w:val="clear" w:color="auto" w:fill="F3E1C3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O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B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C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D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E</w:t>
                        </w:r>
                      </w:p>
                    </w:tc>
                  </w:tr>
                  <w:tr>
                    <w:tc>
                      <w:tcPr>
                        <w:tcW w:type="dxa" w:w="539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3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G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H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K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M</w:t>
                        </w:r>
                      </w:p>
                    </w:tc>
                  </w:tr>
                  <w:tr>
                    <w:tc>
                      <w:tcPr>
                        <w:tcW w:type="dxa" w:w="539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4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N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P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Q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S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U</w:t>
                        </w:r>
                      </w:p>
                    </w:tc>
                  </w:tr>
                  <w:tr>
                    <w:tc>
                      <w:tcPr>
                        <w:tcW w:type="dxa" w:w="539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5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V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W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X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Y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Z</w:t>
                        </w:r>
                      </w:p>
                    </w:tc>
                  </w:tr>
                </w:tbl>
                <w:p/>
                <w:p>
                  <w:pPr>
                    <w:spacing w:before="0" w:after="0" w:line="240" w:lineRule="auto"/>
                    <w:rPr>
                      <w:sz w:val="6"/>
                    </w:rPr>
                  </w:pPr>
                  <w:r/>
                </w:p>
              </w:tc>
            </w:tr>
          </w:tbl>
          <w:p/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7A2E2E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2 · VORBEREITEN UND VERSCHLÜSSELN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Vorbereiten: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(1) J → I. (2) Text von vorn in Paare teilen. (3) Bestünde ein Paar aus zwei gleichen Buchstaben,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X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dazwischen schreiben; die Paarbildung läuft dann weiter. (4) Bleibt am Ende ein Buchstabe übrig,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X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anhängen.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Verschlüsseln je Paar:</w:t>
            </w:r>
          </w:p>
          <w:tbl>
            <w:tblPr>
              <w:tblW w:type="dxa" w:w="9185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792"/>
              <w:gridCol w:w="5376"/>
              <w:gridCol w:w="2016"/>
            </w:tblGrid>
            <w:tr>
              <w:trPr>
                <w:cantSplit/>
                <w:tblHeader/>
              </w:trPr>
              <w:tc>
                <w:tcPr>
                  <w:tcW w:type="dxa" w:w="1792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Fall</w:t>
                  </w:r>
                </w:p>
              </w:tc>
              <w:tc>
                <w:tcPr>
                  <w:tcW w:type="dxa" w:w="5376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Regel</w:t>
                  </w:r>
                </w:p>
              </w:tc>
              <w:tc>
                <w:tcPr>
                  <w:tcW w:type="dxa" w:w="2016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Beispiel (RIALTO)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92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gleiche Zeile</w:t>
                  </w:r>
                </w:p>
              </w:tc>
              <w:tc>
                <w:tcPr>
                  <w:tcW w:type="dxa" w:w="537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 xml:space="preserve">jeder Buchstabe →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rechter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 xml:space="preserve"> Nachbar (am Rand zyklisch zum Zeilenanfang)</w:t>
                  </w:r>
                </w:p>
              </w:tc>
              <w:tc>
                <w:tcPr>
                  <w:tcW w:type="dxa" w:w="201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OD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 xml:space="preserve"> →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BE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92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gleiche Spalte</w:t>
                  </w:r>
                </w:p>
              </w:tc>
              <w:tc>
                <w:tcPr>
                  <w:tcW w:type="dxa" w:w="537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 xml:space="preserve">jeder Buchstabe →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unterer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 xml:space="preserve"> Nachbar (zyklisch nach oben)</w:t>
                  </w:r>
                </w:p>
              </w:tc>
              <w:tc>
                <w:tcPr>
                  <w:tcW w:type="dxa" w:w="201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BG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 xml:space="preserve"> →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GP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92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sonst (Rechteck)</w:t>
                  </w:r>
                </w:p>
              </w:tc>
              <w:tc>
                <w:tcPr>
                  <w:tcW w:type="dxa" w:w="537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 xml:space="preserve">jeder Buchstabe → Ecke des Rechtecks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in seiner eigenen Zeile</w:t>
                  </w:r>
                </w:p>
              </w:tc>
              <w:tc>
                <w:tcPr>
                  <w:tcW w:type="dxa" w:w="201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RS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 xml:space="preserve"> →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LN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Entschlüsseln: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Zeile →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links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, Spalte →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oben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, Rechteck → wie beim Verschlüsseln (Falle P3).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B3261E"/>
              <w:left w:val="single" w:sz="4" w:space="0" w:color="B3261E"/>
              <w:bottom w:val="single" w:sz="4" w:space="0" w:color="B3261E"/>
              <w:right w:val="single" w:sz="4" w:space="0" w:color="B3261E"/>
            </w:tcBorders>
            <w:shd w:val="clear" w:color="auto" w:fill="FDF3F2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B3261E"/>
                <w:spacing w:val="16"/>
                <w:sz w:val="21"/>
              </w:rPr>
              <w:t>ACHTUNG FALLE P4 · Regeln abhaken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Das X wird nur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innerhalb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eines Paars eingefügt; danach verschiebt sich die Paarbildung: </w:t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ballett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→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BA LX LE TX TX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– nicht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BA LL ET 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. Beim Rechteck liegt die neue Ecke in der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eigenen Zeile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(nicht in der eigenen Spalte). Und J gibt es im Quadrat nicht: erst J → I, dann suchen.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7A2E2E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3 · MATERIAL: DAS KREUZQUADRAT (FREMDES VERFAHREN)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Das Kreuzquadrat verwendet zwei 5×5-Schlüsselquadrate (I = J), die wie beim Playfair-Verfahren aus je einem Schlüsselwort gebildet werden: ein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oberes Quadrat O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und ein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unteres Quadrat U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. Hat der Klartext eine ungerade Länge, wird ein X angehängt. Der Klartext wird in Paare (a, b) zerlegt. Der Buchstabe a wird im oberen, der Buchstabe b im unteren Quadrat gesucht. Der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erste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Geheimtextbuchstabe ist der Buchstabe im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unteren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Quadrat, der in der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Zeile von a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und der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Spalte von b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steht. Der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zweite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Geheimtextbuchstabe ist der Buchstabe im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oberen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Quadrat, der in der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Zeile von b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und der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Spalte von a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steht.</w:t>
            </w:r>
          </w:p>
          <w:tbl>
            <w:tblPr>
              <w:tblW w:type="dxa" w:w="918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592"/>
              <w:gridCol w:w="4592"/>
            </w:tblGrid>
            <w:tr>
              <w:tc>
                <w:tcPr>
                  <w:tcW w:type="dxa" w:w="4592"/>
                  <w:tcMar>
                    <w:top w:w="0" w:type="dxa"/>
                    <w:start w:w="0" w:type="dxa"/>
                    <w:bottom w:w="0" w:type="dxa"/>
                    <w:end w:w="120" w:type="dxa"/>
                  </w:tcMar>
                </w:tcPr>
                <w:p>
                  <w:pPr>
                    <w:spacing w:after="0"/>
                  </w:pPr>
                </w:p>
                <w:p>
                  <w:pPr>
                    <w:spacing w:before="0" w:after="8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2"/>
                    </w:rPr>
                    <w:t>Oberes Quadrat O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 (Schlüsselwort GONDEL)</w:t>
                  </w:r>
                </w:p>
                <w:tbl>
                  <w:tblPr>
                    <w:tblW w:type="dxa" w:w="3231"/>
                    <w:jc w:val="center"/>
                    <w:tblBorders>
                      <w:top w:val="single" w:sz="4" w:space="0" w:color="4A4A55"/>
                      <w:left w:val="single" w:sz="4" w:space="0" w:color="4A4A55"/>
                      <w:bottom w:val="single" w:sz="4" w:space="0" w:color="4A4A55"/>
                      <w:right w:val="single" w:sz="4" w:space="0" w:color="4A4A55"/>
                      <w:insideH w:val="single" w:sz="4" w:space="0" w:color="4A4A55"/>
                      <w:insideV w:val="single" w:sz="4" w:space="0" w:color="4A4A55"/>
                    </w:tblBorders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538"/>
                    <w:gridCol w:w="538"/>
                    <w:gridCol w:w="538"/>
                    <w:gridCol w:w="538"/>
                    <w:gridCol w:w="538"/>
                    <w:gridCol w:w="538"/>
                  </w:tblGrid>
                  <w:tr>
                    <w:tc>
                      <w:tcPr>
                        <w:tcW w:type="dxa" w:w="539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</w:r>
                      </w:p>
                    </w:tc>
                    <w:tc>
                      <w:tcPr>
                        <w:tcW w:type="dxa" w:w="539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type="dxa" w:w="539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2</w:t>
                        </w:r>
                      </w:p>
                    </w:tc>
                    <w:tc>
                      <w:tcPr>
                        <w:tcW w:type="dxa" w:w="539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3</w:t>
                        </w:r>
                      </w:p>
                    </w:tc>
                    <w:tc>
                      <w:tcPr>
                        <w:tcW w:type="dxa" w:w="539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4</w:t>
                        </w:r>
                      </w:p>
                    </w:tc>
                    <w:tc>
                      <w:tcPr>
                        <w:tcW w:type="dxa" w:w="539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5</w:t>
                        </w:r>
                      </w:p>
                    </w:tc>
                  </w:tr>
                  <w:tr>
                    <w:tc>
                      <w:tcPr>
                        <w:tcW w:type="dxa" w:w="539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G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O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N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D</w:t>
                        </w:r>
                      </w:p>
                    </w:tc>
                    <w:tc>
                      <w:tcPr>
                        <w:tcW w:type="dxa" w:w="539"/>
                        <w:shd w:val="clear" w:color="auto" w:fill="F3E1C3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E</w:t>
                        </w:r>
                      </w:p>
                    </w:tc>
                  </w:tr>
                  <w:tr>
                    <w:tc>
                      <w:tcPr>
                        <w:tcW w:type="dxa" w:w="539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2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L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A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B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C</w:t>
                        </w:r>
                      </w:p>
                    </w:tc>
                    <w:tc>
                      <w:tcPr>
                        <w:tcW w:type="dxa" w:w="539"/>
                        <w:shd w:val="clear" w:color="auto" w:fill="F3E1C3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F</w:t>
                        </w:r>
                      </w:p>
                    </w:tc>
                  </w:tr>
                  <w:tr>
                    <w:tc>
                      <w:tcPr>
                        <w:tcW w:type="dxa" w:w="539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3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H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I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K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M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P</w:t>
                        </w:r>
                      </w:p>
                    </w:tc>
                  </w:tr>
                  <w:tr>
                    <w:tc>
                      <w:tcPr>
                        <w:tcW w:type="dxa" w:w="539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4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Q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R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S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T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U</w:t>
                        </w:r>
                      </w:p>
                    </w:tc>
                  </w:tr>
                  <w:tr>
                    <w:tc>
                      <w:tcPr>
                        <w:tcW w:type="dxa" w:w="539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5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V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W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X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Y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Z</w:t>
                        </w:r>
                      </w:p>
                    </w:tc>
                  </w:tr>
                </w:tbl>
                <w:p/>
                <w:p>
                  <w:pPr>
                    <w:spacing w:before="0" w:after="0" w:line="240" w:lineRule="auto"/>
                    <w:rPr>
                      <w:sz w:val="6"/>
                    </w:rPr>
                  </w:pPr>
                  <w:r/>
                </w:p>
              </w:tc>
              <w:tc>
                <w:tcPr>
                  <w:tcW w:type="dxa" w:w="4592"/>
                  <w:tcMar>
                    <w:top w:w="0" w:type="dxa"/>
                    <w:start w:w="120" w:type="dxa"/>
                    <w:bottom w:w="0" w:type="dxa"/>
                    <w:end w:w="0" w:type="dxa"/>
                  </w:tcMar>
                </w:tcPr>
                <w:p>
                  <w:pPr>
                    <w:spacing w:after="0"/>
                  </w:pPr>
                </w:p>
                <w:p>
                  <w:pPr>
                    <w:spacing w:before="0" w:after="8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2"/>
                    </w:rPr>
                    <w:t>Unteres Quadrat U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 (Schlüsselwort MURANO)</w:t>
                  </w:r>
                </w:p>
                <w:tbl>
                  <w:tblPr>
                    <w:tblW w:type="dxa" w:w="3231"/>
                    <w:jc w:val="center"/>
                    <w:tblBorders>
                      <w:top w:val="single" w:sz="4" w:space="0" w:color="4A4A55"/>
                      <w:left w:val="single" w:sz="4" w:space="0" w:color="4A4A55"/>
                      <w:bottom w:val="single" w:sz="4" w:space="0" w:color="4A4A55"/>
                      <w:right w:val="single" w:sz="4" w:space="0" w:color="4A4A55"/>
                      <w:insideH w:val="single" w:sz="4" w:space="0" w:color="4A4A55"/>
                      <w:insideV w:val="single" w:sz="4" w:space="0" w:color="4A4A55"/>
                    </w:tblBorders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538"/>
                    <w:gridCol w:w="538"/>
                    <w:gridCol w:w="538"/>
                    <w:gridCol w:w="538"/>
                    <w:gridCol w:w="538"/>
                    <w:gridCol w:w="538"/>
                  </w:tblGrid>
                  <w:tr>
                    <w:tc>
                      <w:tcPr>
                        <w:tcW w:type="dxa" w:w="539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</w:r>
                      </w:p>
                    </w:tc>
                    <w:tc>
                      <w:tcPr>
                        <w:tcW w:type="dxa" w:w="539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type="dxa" w:w="539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2</w:t>
                        </w:r>
                      </w:p>
                    </w:tc>
                    <w:tc>
                      <w:tcPr>
                        <w:tcW w:type="dxa" w:w="539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3</w:t>
                        </w:r>
                      </w:p>
                    </w:tc>
                    <w:tc>
                      <w:tcPr>
                        <w:tcW w:type="dxa" w:w="539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4</w:t>
                        </w:r>
                      </w:p>
                    </w:tc>
                    <w:tc>
                      <w:tcPr>
                        <w:tcW w:type="dxa" w:w="539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5</w:t>
                        </w:r>
                      </w:p>
                    </w:tc>
                  </w:tr>
                  <w:tr>
                    <w:tc>
                      <w:tcPr>
                        <w:tcW w:type="dxa" w:w="539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M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U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R</w:t>
                        </w:r>
                      </w:p>
                    </w:tc>
                    <w:tc>
                      <w:tcPr>
                        <w:tcW w:type="dxa" w:w="539"/>
                        <w:shd w:val="clear" w:color="auto" w:fill="F3E1C3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A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N</w:t>
                        </w:r>
                      </w:p>
                    </w:tc>
                  </w:tr>
                  <w:tr>
                    <w:tc>
                      <w:tcPr>
                        <w:tcW w:type="dxa" w:w="539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2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O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B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C</w:t>
                        </w:r>
                      </w:p>
                    </w:tc>
                    <w:tc>
                      <w:tcPr>
                        <w:tcW w:type="dxa" w:w="539"/>
                        <w:shd w:val="clear" w:color="auto" w:fill="F3E1C3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D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E</w:t>
                        </w:r>
                      </w:p>
                    </w:tc>
                  </w:tr>
                  <w:tr>
                    <w:tc>
                      <w:tcPr>
                        <w:tcW w:type="dxa" w:w="539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3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G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H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I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K</w:t>
                        </w:r>
                      </w:p>
                    </w:tc>
                  </w:tr>
                  <w:tr>
                    <w:tc>
                      <w:tcPr>
                        <w:tcW w:type="dxa" w:w="539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4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L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P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Q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S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T</w:t>
                        </w:r>
                      </w:p>
                    </w:tc>
                  </w:tr>
                  <w:tr>
                    <w:tc>
                      <w:tcPr>
                        <w:tcW w:type="dxa" w:w="539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5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V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W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X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Y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Z</w:t>
                        </w:r>
                      </w:p>
                    </w:tc>
                  </w:tr>
                </w:tbl>
                <w:p/>
                <w:p>
                  <w:pPr>
                    <w:spacing w:before="0" w:after="0" w:line="240" w:lineRule="auto"/>
                    <w:rPr>
                      <w:sz w:val="6"/>
                    </w:rPr>
                  </w:pPr>
                  <w:r/>
                </w:p>
              </w:tc>
            </w:tr>
          </w:tbl>
          <w:p/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Beispiel aus dem Material: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Paar FA → f oben in Zeile 2, Spalte 5; a unten in Zeile 1, Spalte 4 → 1. Buchstabe: unten Zeile 2, Spalte 4 =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D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; 2. Buchstabe: oben Zeile 1, Spalte 5 =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→ FA ↦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DE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7A2E2E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4 · EINORDNEN UND BEURTEILEN VON BIGRAMM-VERFAHREN (5-SCHRITTE-METHODE, SCHRITTE 4 UND 5)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14213D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Einordnung: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Substitution (Buchstaben werden ersetzt, nicht umgestellt);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monoalphabetisch auf Bigrammen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: Dasselbe Klartextpaar wird immer zum selben Geheimtextpaar. Bezogen auf Einzelbuchstaben hängt die Ersetzung vom Partner ab – deshalb nennt man solche Verfahren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bigraphisch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(Falle P5). Symmetrisch: gleicher Schlüssel für beide Richtungen.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14213D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Beurteilung: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Einzelbuchstaben-Häufigkeitsanalyse greift nicht direkt, aber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Bigramm-Häufigkeiten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schon (häufige deutsche Bigramme sind z. B. </w:t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, </w:t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er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, </w:t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ch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, </w:t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ei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, </w:t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de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); es gibt nur 600 (Playfair) bzw. 625 mögliche Paare – bei langen Texten genug Statistik. Schlüsselraum: höchstens 25! ≈ 1,55 · 10²⁵ Quadrate (Playfair; einige gleichwertig), Brute Force aussichtslos, aber unnötig. Verräterische Eigenschaften: kein Geheimtextpaar aus zwei gleichen Buchstaben; ist AB → XY, dann BA → YX.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7A2E2E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1</w:t>
            </w:r>
          </w:p>
        </w:tc>
        <w:tc>
          <w:tcPr>
            <w:tcW w:type="dxa" w:w="8957"/>
            <w:tcBorders>
              <w:bottom w:val="single" w:sz="6" w:space="0" w:color="7A2E2E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7A2E2E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Das RIALTO-Quadrat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905"/>
        <w:gridCol w:w="3619"/>
      </w:tblGrid>
      <w:tr>
        <w:tc>
          <w:tcPr>
            <w:tcW w:type="dxa" w:w="5905"/>
            <w:tcMar>
              <w:top w:w="0" w:type="dxa"/>
              <w:start w:w="0" w:type="dxa"/>
              <w:bottom w:w="0" w:type="dxa"/>
              <w:end w:w="120" w:type="dxa"/>
            </w:tcMar>
          </w:tcPr>
          <w:p>
            <w:pPr>
              <w:spacing w:after="0"/>
            </w:pP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Erstelle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das Playfair-Quadrat zum Schlüsselwort RIALTO (ohne nachzusehen) und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vergleiche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mit Archivwissen 1. Wo steht J?</w:t>
            </w:r>
          </w:p>
        </w:tc>
        <w:tc>
          <w:tcPr>
            <w:tcW w:type="dxa" w:w="3619"/>
            <w:tcMar>
              <w:top w:w="0" w:type="dxa"/>
              <w:start w:w="120" w:type="dxa"/>
              <w:bottom w:w="0" w:type="dxa"/>
              <w:end w:w="0" w:type="dxa"/>
            </w:tcMar>
          </w:tcPr>
          <w:p>
            <w:pPr>
              <w:spacing w:after="0"/>
            </w:pPr>
          </w:p>
          <w:tbl>
            <w:tblPr>
              <w:tblW w:type="dxa" w:w="2591"/>
              <w:jc w:val="center"/>
              <w:tblBorders>
                <w:top w:val="single" w:sz="4" w:space="0" w:color="4A4A55"/>
                <w:left w:val="single" w:sz="4" w:space="0" w:color="4A4A55"/>
                <w:bottom w:val="single" w:sz="4" w:space="0" w:color="4A4A55"/>
                <w:right w:val="single" w:sz="4" w:space="0" w:color="4A4A55"/>
                <w:insideH w:val="single" w:sz="4" w:space="0" w:color="4A4A55"/>
                <w:insideV w:val="single" w:sz="4" w:space="0" w:color="4A4A55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518"/>
              <w:gridCol w:w="518"/>
              <w:gridCol w:w="518"/>
              <w:gridCol w:w="518"/>
              <w:gridCol w:w="518"/>
            </w:tblGrid>
            <w:tr>
              <w:tc>
                <w:tcPr>
                  <w:tcW w:type="dxa" w:w="518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</w:r>
                </w:p>
              </w:tc>
              <w:tc>
                <w:tcPr>
                  <w:tcW w:type="dxa" w:w="518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</w:r>
                </w:p>
              </w:tc>
              <w:tc>
                <w:tcPr>
                  <w:tcW w:type="dxa" w:w="518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</w:r>
                </w:p>
              </w:tc>
              <w:tc>
                <w:tcPr>
                  <w:tcW w:type="dxa" w:w="518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</w:r>
                </w:p>
              </w:tc>
              <w:tc>
                <w:tcPr>
                  <w:tcW w:type="dxa" w:w="518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</w:r>
                </w:p>
              </w:tc>
            </w:tr>
            <w:tr>
              <w:tc>
                <w:tcPr>
                  <w:tcW w:type="dxa" w:w="518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</w:r>
                </w:p>
              </w:tc>
              <w:tc>
                <w:tcPr>
                  <w:tcW w:type="dxa" w:w="518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</w:r>
                </w:p>
              </w:tc>
              <w:tc>
                <w:tcPr>
                  <w:tcW w:type="dxa" w:w="518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</w:r>
                </w:p>
              </w:tc>
              <w:tc>
                <w:tcPr>
                  <w:tcW w:type="dxa" w:w="518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</w:r>
                </w:p>
              </w:tc>
              <w:tc>
                <w:tcPr>
                  <w:tcW w:type="dxa" w:w="518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</w:r>
                </w:p>
              </w:tc>
            </w:tr>
            <w:tr>
              <w:tc>
                <w:tcPr>
                  <w:tcW w:type="dxa" w:w="518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</w:r>
                </w:p>
              </w:tc>
              <w:tc>
                <w:tcPr>
                  <w:tcW w:type="dxa" w:w="518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</w:r>
                </w:p>
              </w:tc>
              <w:tc>
                <w:tcPr>
                  <w:tcW w:type="dxa" w:w="518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</w:r>
                </w:p>
              </w:tc>
              <w:tc>
                <w:tcPr>
                  <w:tcW w:type="dxa" w:w="518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</w:r>
                </w:p>
              </w:tc>
              <w:tc>
                <w:tcPr>
                  <w:tcW w:type="dxa" w:w="518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</w:r>
                </w:p>
              </w:tc>
            </w:tr>
            <w:tr>
              <w:tc>
                <w:tcPr>
                  <w:tcW w:type="dxa" w:w="518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</w:r>
                </w:p>
              </w:tc>
              <w:tc>
                <w:tcPr>
                  <w:tcW w:type="dxa" w:w="518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</w:r>
                </w:p>
              </w:tc>
              <w:tc>
                <w:tcPr>
                  <w:tcW w:type="dxa" w:w="518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</w:r>
                </w:p>
              </w:tc>
              <w:tc>
                <w:tcPr>
                  <w:tcW w:type="dxa" w:w="518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</w:r>
                </w:p>
              </w:tc>
              <w:tc>
                <w:tcPr>
                  <w:tcW w:type="dxa" w:w="518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</w:r>
                </w:p>
              </w:tc>
            </w:tr>
            <w:tr>
              <w:tc>
                <w:tcPr>
                  <w:tcW w:type="dxa" w:w="518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</w:r>
                </w:p>
              </w:tc>
              <w:tc>
                <w:tcPr>
                  <w:tcW w:type="dxa" w:w="518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</w:r>
                </w:p>
              </w:tc>
              <w:tc>
                <w:tcPr>
                  <w:tcW w:type="dxa" w:w="518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</w:r>
                </w:p>
              </w:tc>
              <w:tc>
                <w:tcPr>
                  <w:tcW w:type="dxa" w:w="518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</w:r>
                </w:p>
              </w:tc>
              <w:tc>
                <w:tcPr>
                  <w:tcW w:type="dxa" w:w="518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</w:tc>
      </w:tr>
    </w:tbl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7A2E2E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2</w:t>
            </w:r>
          </w:p>
        </w:tc>
        <w:tc>
          <w:tcPr>
            <w:tcW w:type="dxa" w:w="8957"/>
            <w:tcBorders>
              <w:bottom w:val="single" w:sz="6" w:space="0" w:color="7A2E2E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7A2E2E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Klartext vorbereiten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Bereite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</w:t>
      </w:r>
      <w:r>
        <w:rPr>
          <w:rFonts w:ascii="Calibri" w:hAnsi="Calibri" w:cs="Calibri" w:eastAsia="Calibri"/>
          <w:b w:val="0"/>
          <w:i/>
          <w:color w:val="1B1B1F"/>
          <w:sz w:val="22"/>
        </w:rPr>
        <w:t>dasschiffsegeltmorgen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für Playfair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vor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:  </w:t>
      </w:r>
      <w:r>
        <w:rPr>
          <w:rFonts w:ascii="Calibri" w:hAnsi="Calibri" w:cs="Calibri" w:eastAsia="Calibri"/>
          <w:b w:val="0"/>
          <w:i w:val="0"/>
          <w:color w:val="4A4A55"/>
          <w:sz w:val="22"/>
        </w:rPr>
        <w:t>______________________________________________________________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7A2E2E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3</w:t>
            </w:r>
          </w:p>
        </w:tc>
        <w:tc>
          <w:tcPr>
            <w:tcW w:type="dxa" w:w="8957"/>
            <w:tcBorders>
              <w:bottom w:val="single" w:sz="6" w:space="0" w:color="7A2E2E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7A2E2E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Das Schiff segelt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Verschlüssele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den vorbereiteten Text aus Auftrag 2 (Quadrat RIALTO).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Notiere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zu jedem Paar den Fall (Z = Zeile, S = Spalte, R = Rechteck).</w:t>
      </w:r>
    </w:p>
    <w:tbl>
      <w:tblPr>
        <w:tblW w:type="dxa" w:w="9298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623"/>
        <w:gridCol w:w="623"/>
        <w:gridCol w:w="623"/>
        <w:gridCol w:w="623"/>
        <w:gridCol w:w="623"/>
        <w:gridCol w:w="623"/>
        <w:gridCol w:w="623"/>
        <w:gridCol w:w="623"/>
        <w:gridCol w:w="623"/>
        <w:gridCol w:w="623"/>
        <w:gridCol w:w="623"/>
        <w:gridCol w:w="623"/>
      </w:tblGrid>
      <w:tr>
        <w:trPr>
          <w:cantSplit/>
        </w:trPr>
        <w:tc>
          <w:tcPr>
            <w:tcW w:type="dxa" w:w="181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Klartextpaar</w:t>
            </w: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181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Fall</w:t>
            </w: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181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Geheimtextpaar</w:t>
            </w: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7A2E2E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4</w:t>
            </w:r>
          </w:p>
        </w:tc>
        <w:tc>
          <w:tcPr>
            <w:tcW w:type="dxa" w:w="8957"/>
            <w:tcBorders>
              <w:bottom w:val="single" w:sz="6" w:space="0" w:color="7A2E2E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7A2E2E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Rückweg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Entschlüssele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GAURO TEOFH RDDHO UEZTF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(Quadrat RIALTO). Im Geheimtext steht DD – widerspricht das der Regel, dass kein Geheimtextpaar aus gleichen Buchstaben besteht?</w:t>
      </w:r>
    </w:p>
    <w:tbl>
      <w:tblPr>
        <w:tblW w:type="dxa" w:w="8618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>
        <w:trPr>
          <w:cantSplit/>
        </w:trPr>
        <w:tc>
          <w:tcPr>
            <w:tcW w:type="dxa" w:w="181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Geheimtextpaar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GA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UR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OT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EO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FH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RD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DH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OU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EZ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TF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Klartextpaar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7A2E2E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5</w:t>
            </w:r>
          </w:p>
        </w:tc>
        <w:tc>
          <w:tcPr>
            <w:tcW w:type="dxa" w:w="8957"/>
            <w:tcBorders>
              <w:bottom w:val="single" w:sz="6" w:space="0" w:color="7A2E2E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7A2E2E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Kreuzquadrat anwenden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7A2E2E"/>
          <w:sz w:val="22"/>
        </w:rPr>
        <w:t>a)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Verschlüssele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</w:t>
      </w:r>
      <w:r>
        <w:rPr>
          <w:rFonts w:ascii="Calibri" w:hAnsi="Calibri" w:cs="Calibri" w:eastAsia="Calibri"/>
          <w:b w:val="0"/>
          <w:i/>
          <w:color w:val="1B1B1F"/>
          <w:sz w:val="22"/>
        </w:rPr>
        <w:t>kommandant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mit dem Kreuzquadrat (Material, Archivwissen 3).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7A2E2E"/>
          <w:sz w:val="22"/>
        </w:rPr>
        <w:t>b)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Entschlüssele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FBNSR OBNCM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.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Formuliere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dazu zuerst die Entschlüsselungsregel.</w:t>
      </w:r>
    </w:p>
    <w:tbl>
      <w:tblPr>
        <w:tblW w:type="dxa" w:w="6293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2041"/>
        <w:gridCol w:w="850"/>
        <w:gridCol w:w="850"/>
        <w:gridCol w:w="850"/>
        <w:gridCol w:w="850"/>
        <w:gridCol w:w="850"/>
      </w:tblGrid>
      <w:tr>
        <w:trPr>
          <w:cantSplit/>
        </w:trPr>
        <w:tc>
          <w:tcPr>
            <w:tcW w:type="dxa" w:w="204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a) Klartextpaar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KO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MM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AN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DA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NT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Geheimtextpaar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204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b) Geheimtextpaar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FB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NS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RO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BN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CM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Klartextpaar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7A2E2E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6</w:t>
            </w:r>
          </w:p>
        </w:tc>
        <w:tc>
          <w:tcPr>
            <w:tcW w:type="dxa" w:w="8957"/>
            <w:tcBorders>
              <w:bottom w:val="single" w:sz="6" w:space="0" w:color="7A2E2E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7A2E2E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Kreuzquadrat einordnen und beurteilen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GRUPPENARBEIT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7A2E2E"/>
          <w:sz w:val="22"/>
        </w:rPr>
        <w:t>a)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Verschlüssele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</w:t>
      </w:r>
      <w:r>
        <w:rPr>
          <w:rFonts w:ascii="Calibri" w:hAnsi="Calibri" w:cs="Calibri" w:eastAsia="Calibri"/>
          <w:b w:val="0"/>
          <w:i/>
          <w:color w:val="1B1B1F"/>
          <w:sz w:val="22"/>
        </w:rPr>
        <w:t>seidenballen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und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ordne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das Verfahren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ein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7A2E2E"/>
          <w:sz w:val="22"/>
        </w:rPr>
        <w:t>b)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Was passiert, wenn O und U gleich sind?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Teste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EE, GO, GL mit O = U = GONDEL.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7A2E2E"/>
          <w:sz w:val="22"/>
        </w:rPr>
        <w:t>c)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Beurteile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die Sicherheit des Kreuzquadrats.</w:t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14213D"/>
              <w:left w:val="single" w:sz="4" w:space="0" w:color="14213D"/>
              <w:bottom w:val="single" w:sz="4" w:space="0" w:color="14213D"/>
              <w:right w:val="single" w:sz="4" w:space="0" w:color="14213D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ABI-CHECK · ca. 15 min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14213D"/>
              </w:rPr>
              <w:t xml:space="preserve"> 11 BE </w:t>
            </w:r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a)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Wenden Sie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das Playfair-Verfahren mit dem Quadrat RIALTO auf den Klartext </w:t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jagd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an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[2 BE]</w:t>
            </w:r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b)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Entscheiden Sie begründet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, ob das Playfair-Verfahren als monoalphabetisches oder als polyalphabetisches Verfahren einzuordnen ist.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[3 BE]</w:t>
            </w:r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c)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Begründen Sie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, dass bei Playfair kein Geheimtextpaar aus zwei gleichen Buchstaben bestehen kann.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[2 BE]</w:t>
            </w:r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d)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Beurteilen Sie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die Sicherheit des Kreuzquadrats im Vergleich zum Playfair-Verfahren.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[4 BE]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881"/>
        <w:gridCol w:w="1644"/>
      </w:tblGrid>
      <w:tr>
        <w:tc>
          <w:tcPr>
            <w:tcW w:type="dxa" w:w="7880"/>
            <w:tcBorders>
              <w:top w:val="double" w:sz="6" w:space="0" w:color="7A2E2E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60" w:type="dxa"/>
            </w:tcMar>
          </w:tcPr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IM LAB ÜBEN</w:t>
            </w:r>
            <w:r>
              <w:rPr>
                <w:rFonts w:ascii="Georgia" w:hAnsi="Georgia" w:cs="Georgia" w:eastAsia="Georgia"/>
                <w:b/>
                <w:color w:val="1B1B1F"/>
                <w:sz w:val="21"/>
              </w:rPr>
              <w:t xml:space="preserve">   Level 2.4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Level 2.4 „Playfair und Kreuzquadrat“ im Kryptolabor (Häufigkeits-Analysator, Reiter „Bigramme“; Polybios &amp; Playfair, Reiter „Playfair“). Trainingsplatz: „Playfair-Paar“. Danach wartet der Boss W2 „Die Venezianische Depesche“.</w:t>
            </w:r>
          </w:p>
        </w:tc>
        <w:tc>
          <w:tcPr>
            <w:tcW w:type="dxa" w:w="1644"/>
            <w:tcBorders>
              <w:top w:val="double" w:sz="6" w:space="0" w:color="7A2E2E"/>
            </w:tcBorders>
            <w:shd w:val="clear" w:color="auto" w:fill="F2EADB"/>
            <w:tcMar>
              <w:top w:w="80" w:type="dxa"/>
              <w:start w:w="6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5dce2eb16d42f26a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sectPr w:rsidR="00FC693F" w:rsidRPr="0006063C" w:rsidSect="00034616">
      <w:footerReference w:type="default" r:id="rId11"/>
      <w:headerReference w:type="default" r:id="rId12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62" w:val="center"/>
        <w:tab w:pos="9524" w:val="right"/>
      </w:tabs>
    </w:pPr>
    <w:r/>
    <w:r>
      <w:rPr>
        <w:rFonts w:ascii="Calibri" w:hAnsi="Calibri" w:cs="Calibri" w:eastAsia="Calibri"/>
        <w:color w:val="4A4A55"/>
        <w:sz w:val="16"/>
      </w:rPr>
      <w:t>Kryptos · AKTE W2·4 · Playfair und Kreuzquadrat</w:t>
    </w:r>
    <w:r>
      <w:rPr>
        <w:rFonts w:ascii="Calibri" w:hAnsi="Calibri" w:cs="Calibri" w:eastAsia="Calibri"/>
        <w:color w:val="4A4A55"/>
        <w:sz w:val="16"/>
      </w:rPr>
      <w:tab/>
      <w:t xml:space="preserve">Seite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PAGE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 xml:space="preserve"> von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NUMPAGES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ab/>
      <w:t>© Frank Juchim · Kryptos · für den Unterricht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cs="Calibri" w:eastAsia="Calibri"/>
      <w:color w:val="1B1B1F"/>
      <w:sz w:val="22"/>
      <w:lang w:val="de-DE" w:eastAsia="de-DE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Juchim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