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0E7C86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5 · DAS NETZ</w:t>
            </w:r>
          </w:p>
        </w:tc>
        <w:tc>
          <w:tcPr>
            <w:tcW w:type="dxa" w:w="2268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W5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z w:val="34"/>
              </w:rPr>
              <w:t>Der Messenger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Abitur-Anlage (Alphabet, Nummerierung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AUSGANGSLAGE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Mallory hat einen neuen Plan: Statt Briefe abzufangen, nistet sie sich in einem Messenger ein. Der (erfundene) Messenger „Brieftaube“ verspricht sichere Kommunikation. Jede Nachricht wird mit der Hashfunktion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FEDER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(Material 1) und einer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digitalen Signatur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geschützt (Material 2). Öffentliche Schlüssel aller Nutzerinnen und Nutzer liegen auf 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Schlüsselserver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des Anbieters.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HINWEISE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Notieren Sie alle Rechenwege. Bearbeiten Sie die Aufgaben auf eigenem Papier; in Material 2 genügt es, die Angaben zu (1) bis (4) zu notieren.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0E7C86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Der Messenger „Brieftaube“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0E7C86"/>
          <w:sz w:val="24"/>
        </w:rPr>
        <w:t>Material 1 – Hashfunktion FEDER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 = 1 … Z = 26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Die Nachricht wird normalisiert (nur Kleinbuchstaben a–z, Leerzeichen entfallen).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1.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Zerlege die Nachricht in Blöcke aus je drei Buchstaben. Ist der letzte Block kürzer, wird er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aufgefüllt.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2.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Für jeden Block (b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berechne den Blockwert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</w:t>
      </w:r>
      <w:r>
        <w:rPr>
          <w:rFonts w:ascii="Calibri" w:hAnsi="Calibri" w:cs="Calibri" w:eastAsia="Calibri"/>
          <w:b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 xml:space="preserve"> + 2 · b</w:t>
      </w:r>
      <w:r>
        <w:rPr>
          <w:rFonts w:ascii="Calibri" w:hAnsi="Calibri" w:cs="Calibri" w:eastAsia="Calibri"/>
          <w:b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 xml:space="preserve"> + 3 · b</w:t>
      </w:r>
      <w:r>
        <w:rPr>
          <w:rFonts w:ascii="Calibri" w:hAnsi="Calibri" w:cs="Calibri" w:eastAsia="Calibri"/>
          <w:b/>
          <w:i w:val="0"/>
          <w:color w:val="1B1B1F"/>
          <w:sz w:val="22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3.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Hashwert ist die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Summe aller Blockwerte mod 37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(Ergebnis 0 … 36).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/>
          <w:color w:val="1B1B1F"/>
          <w:sz w:val="22"/>
        </w:rPr>
        <w:t>Beispiel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„geh zum tor“:</w:t>
      </w:r>
    </w:p>
    <w:tbl>
      <w:tblPr>
        <w:tblW w:type="dxa" w:w="850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268"/>
        <w:gridCol w:w="2268"/>
      </w:tblGrid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Block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geh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zum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tor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Blockwert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 + 10 + 24 = 41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26 + 42 + 39 = 107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 + 30 + 54 = 104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Summe 252; 252 mod 37 = 30 (denn 6 · 37 = 222). Hashwert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30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FEDER-Hash der Nachricht „kommt morgen“.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es für den FEDER-Hash verschiedene Nachrichten mit gleichem Hashwert geben muss.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zwei verschiedenartigen Manipulationen, dass ein Angreifer die Nachricht aus a) so verändern kann, dass der FEDER-Hash gleich bleibt. Die veränderten Nachrichten müssen keinen Sinn ergeben.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der FEDER-Hash den Lawineneffekt erfüllt.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Ergänzen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Material 2 an den Stellen (1) bis (4) die passenden Angaben (Verfahren bzw. Schlüsselart und Inhaber).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0E7C86"/>
          <w:sz w:val="24"/>
        </w:rPr>
        <w:t>Material 2 – Digitale Signatur bei Brieftaube (Alice sendet an Bob)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9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de968d2b4f11d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f)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ein Angreifer, der den Schlüsselserver kontrolliert, die Vertraulichkeit der Nachrichten zwischen Alice und Bob aushebeln kann.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g)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Zertifikate einer Zertifizierungsstelle diesen Angriff verhindern.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h)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begründet, ob die folgende Werbeaussage korrekt ist: „Weil Brieftaube jede Nachricht digital signiert, kann niemand außer dem Empfänger sie lesen.“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i)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Regelungen (A) und (B) aus Material 3 im Hinblick auf Grundsätze der Datenschutz-Grundverordnung (DSGVO).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0E7C86"/>
          <w:sz w:val="24"/>
        </w:rPr>
        <w:t>Material 3 – Auszug aus den Nutzungsbedingungen von Brieftaube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rPr>
          <w:cantSplit/>
        </w:trPr>
        <w:tc>
          <w:tcPr>
            <w:tcW w:type="dxa" w:w="68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(A)</w:t>
            </w:r>
          </w:p>
        </w:tc>
        <w:tc>
          <w:tcPr>
            <w:tcW w:type="dxa" w:w="87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„Zur Verbesserung unseres Dienstes speichern wir alle Nachrichten zusätzlich unverschlüsselt für zehn Jahre.“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(B)</w:t>
            </w:r>
          </w:p>
        </w:tc>
        <w:tc>
          <w:tcPr>
            <w:tcW w:type="dxa" w:w="87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„Beim ersten Start übertragen wir das vollständige Adressbuch Ihres Geräts an unsere Server und nutzen die Telefonnummern auch für Werbeangebote unserer Partner.“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(C)</w:t>
            </w:r>
          </w:p>
        </w:tc>
        <w:tc>
          <w:tcPr>
            <w:tcW w:type="dxa" w:w="87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„Passwörter speichern wir ausschließlich als gesalzene Hashwerte.“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200" w:after="0"/>
        <w:jc w:val="center"/>
      </w:pPr>
      <w:r>
        <w:rPr>
          <w:rFonts w:ascii="Georgia" w:hAnsi="Georgia" w:cs="Georgia" w:eastAsia="Georgia"/>
          <w:b/>
          <w:color w:val="8A5F1A"/>
          <w:sz w:val="22"/>
        </w:rPr>
        <w:t>Viel Erfolg – und lassen Sie sich von Mallory nichts unterschieben!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W5 · Der Messenger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