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1F4E8C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1_933b36bad32b4e56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1 · DAS HAUS DER WEISHEIT</w:t>
            </w:r>
          </w:p>
        </w:tc>
        <w:tc>
          <w:tcPr>
            <w:tcW w:type="dxa" w:w="2268"/>
            <w:shd w:val="clear" w:color="auto" w:fill="1F4E8C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4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FUNKRAUM W1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F4E8C"/>
                <w:sz w:val="34"/>
              </w:rPr>
              <w:t>Wettknacken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SZENARIO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Wettknacken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(DS 4, 25 min) – alle Teams knacken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denselben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langen Geheimtext (monoalphabetische Substitution, 486 Buchstaben) mit Häufigkeits-Analysator und Substitutions-Werkbank. Der Beamer zeigt den Fortschritt jedes Teams.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Lernziel: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Häufigkeitsanalyse bricht eine monoalphabetische Substitution trotz 26! Schlüsseln – Schritt für Schritt, ohne Brute Force.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Rollen und Ablauf</w:t>
      </w:r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Alle Teams sind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Eve-Teams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, die Lehrkraft führt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Regie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. Teams = feste Tischgruppen.</w:t>
      </w:r>
    </w:p>
    <w:tbl>
      <w:tblPr>
        <w:tblW w:type="dxa" w:w="9525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737"/>
        <w:gridCol w:w="5329"/>
        <w:gridCol w:w="1984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Schritt</w:t>
            </w:r>
          </w:p>
        </w:tc>
        <w:tc>
          <w:tcPr>
            <w:tcW w:type="dxa" w:w="737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Zeit</w:t>
            </w:r>
          </w:p>
        </w:tc>
        <w:tc>
          <w:tcPr>
            <w:tcW w:type="dxa" w:w="5329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Was passiert</w:t>
            </w:r>
          </w:p>
        </w:tc>
        <w:tc>
          <w:tcPr>
            <w:tcW w:type="dxa" w:w="198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Plattform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0 Start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Lehrkraft startet „Wettknacken“; Häufigkeits-Analysator und Werkbank werden für das Szenario freigeschaltet.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Funkraum-Regie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1 Analyse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Teams zählen (Analysator), notieren die Rangfolge, ordnen U ≙ e zu.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Werkbank im Funkraum-Modus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2 Knacken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14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Bigramme/Trigramme, Musterwörter, Lesen. Der Beamer zeigt je Team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18"/>
              </w:rPr>
              <w:t>Fortschrittsbalken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 xml:space="preserve"> (Anteil korrekt entschlüsselter Positionen, serverseitig berechnet) – keine Inhalte.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Beamer-Board, Polling 2 s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3 Hinweise (optional)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bei Bedarf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Nach 8 min darf die Lehrkraft zentral Hinweise senden: (1) „U ≙ e“, (2) „YC ≙ ch“, (3) „RUM ≙ der“.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Regie: Hinweisknopf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4 Ziellinie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Ein Team ist fertig, wenn ≥ 95 % der Positionen stimmen; Platzierung nach Zeit. Keine Punkte (Abzeichen „Funkraum-Veteran“, ggf. „Erstes Knacken“).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–</w:t>
            </w:r>
          </w:p>
        </w:tc>
      </w:tr>
      <w:tr>
        <w:trPr>
          <w:cantSplit/>
        </w:trPr>
        <w:tc>
          <w:tcPr>
            <w:tcW w:type="dxa" w:w="147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i w:val="0"/>
                <w:color w:val="1B1B1F"/>
                <w:sz w:val="18"/>
              </w:rPr>
              <w:t>5 Auswertung</w:t>
            </w:r>
          </w:p>
        </w:tc>
        <w:tc>
          <w:tcPr>
            <w:tcW w:type="dxa" w:w="737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5</w:t>
            </w:r>
          </w:p>
        </w:tc>
        <w:tc>
          <w:tcPr>
            <w:tcW w:type="dxa" w:w="5329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Beamer: Fortschrittskurven aller Teams; „Welcher Schritt hat den Sprung gebracht?“ (erwartet: e, dann ch/sch/der). Archivfund mit gleichem Schlüssel lesen (Folie 15).</w:t>
            </w:r>
          </w:p>
        </w:tc>
        <w:tc>
          <w:tcPr>
            <w:tcW w:type="dxa" w:w="198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8"/>
              </w:rPr>
              <w:t>Auswertung; „Beenden“ löscht Szenario-Daten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PAPIER-ALTERNATIVE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Geheimtextkarte (Seite 3) je Team auf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A3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vergrößert drucken; 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vorgezählte Häufigkeitstabelle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(Seite 4) als Rückseite – für langsamere Gruppen „aufklappen“. Hinweiskarten 1–3 nach 8 min bei Bedarf austeilen.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Fortschritt: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Die Lehrkraft prüft auf Zuruf fünf zufällige Wörter.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Siegerteam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= erstes Team mit korrektem erstem Satz und vollständigem Alphabet.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298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tcBorders>
              <w:top w:val="single" w:sz="6" w:space="0" w:color="1F4E8C"/>
              <w:left w:val="single" w:sz="4" w:space="0" w:color="1F4E8C"/>
              <w:bottom w:val="single" w:sz="4" w:space="0" w:color="1F4E8C"/>
              <w:right w:val="single" w:sz="4" w:space="0" w:color="1F4E8C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VORBEREITUNG UND DATENSCHUTZ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Analysator und Werkbank erst ab DS 4 freigeben (sonst wird der Archivfund vorab geknackt). Szenario „Wettknacken“ vorab anlegen. Übertragen wird nur die Zuordnungstabelle (26 Zeichen), keine Freitexte; Löschung beim Beenden, spätestens nach 24 h.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p>
      <w:pPr>
        <w:keepNext/>
        <w:spacing w:before="120" w:after="60"/>
      </w:pPr>
      <w:r>
        <w:rPr>
          <w:rFonts w:ascii="Georgia" w:hAnsi="Georgia" w:cs="Georgia" w:eastAsia="Georgia"/>
          <w:b/>
          <w:i w:val="0"/>
          <w:color w:val="1F4E8C"/>
          <w:sz w:val="24"/>
        </w:rPr>
        <w:t>Rollenkarten zum Ausschneiden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B5523B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DF3F2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B5523B"/>
                      <w:spacing w:val="16"/>
                      <w:sz w:val="21"/>
                    </w:rPr>
                    <w:t>EVE-TEAM · EUER AUFTRAG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Ihr habt einen langen Brief aus dem Haus der Weisheit abgefangen. Jeder Buchstabe wurde durch einen anderen ersetzt –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immer durch denselben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1F4E8C"/>
                      <w:sz w:val="22"/>
                    </w:rPr>
                    <w:t>1.</w:t>
                    <w:tab/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Zählen: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Rangfolge der Geheimtextbuchstaben notieren.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1F4E8C"/>
                      <w:sz w:val="22"/>
                    </w:rPr>
                    <w:t>2.</w:t>
                    <w:tab/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Häufigster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Buchstabe ≙ e.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1F4E8C"/>
                      <w:sz w:val="22"/>
                    </w:rPr>
                    <w:t>3.</w:t>
                    <w:tab/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Paare und Dreiergruppen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suchen: er, en, ch, sch, der, und.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b/>
                      <w:color w:val="1F4E8C"/>
                      <w:sz w:val="22"/>
                    </w:rPr>
                    <w:t>4.</w:t>
                    <w:tab/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Lesen: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Wörter ergänzen, Zuordnung verbessern.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Ziel: ≥ 95 % richtig – schneller als die anderen Teams.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8A5F1A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BF3E2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8A5F1A"/>
                      <w:spacing w:val="16"/>
                      <w:sz w:val="21"/>
                    </w:rPr>
                    <w:t>REGIE · LEHRKRAFT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Szenario starten, Werkzeuge freischalten.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Fortschrittsbalken am Beamer zeigen – keine Inhalte.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Ab Minute 8 bei Bedarf Hinweise 1–3 senden.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Ziellinie ≥ 95 %; danach Auswertung und Archivfund.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Papier: fünf Wörter auf Zuruf prüfen.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Teamrollen (optional, Vorschlag):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In Tischgruppen ab drei Personen helfen feste Aufgaben.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4762"/>
            <w:tcMar>
              <w:top w:w="0" w:type="dxa"/>
              <w:start w:w="0" w:type="dxa"/>
              <w:bottom w:w="0" w:type="dxa"/>
              <w:end w:w="12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1F4E8C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TEAMROLLE · ZÄHLMEISTER/IN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Du bedienst den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Häufigkeits-Analysator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(oder zählst auf Papier) und führst die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Rangliste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 Du meldest: „Häufigster ist …, dann …“.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1F4E8C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TEAMROLLE · LESER/IN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Du liest den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teilweise entschlüsselten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Text laut vor und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ergänzt Wörter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. Du trägst neue Zuordnungen in die Werkbank bzw. die Zuordnungsleiste ein.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  <w:tc>
          <w:tcPr>
            <w:tcW w:type="dxa" w:w="4762"/>
            <w:tcMar>
              <w:top w:w="0" w:type="dxa"/>
              <w:start w:w="120" w:type="dxa"/>
              <w:bottom w:w="0" w:type="dxa"/>
              <w:end w:w="0" w:type="dxa"/>
            </w:tcMar>
          </w:tcPr>
          <w:p>
            <w:pPr>
              <w:spacing w:after="0"/>
            </w:pPr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1F4E8C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F4E8C"/>
                      <w:spacing w:val="16"/>
                      <w:sz w:val="21"/>
                    </w:rPr>
                    <w:t>TEAMROLLE · MUSTERJÄGER/IN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Du suchst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Bigramme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und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Dreiergruppen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: Welches Zeichen steht fast immer vor demselben Zeichen (ch)? Welche Dreiergruppe kommt oft vor (der, und, sch)?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  <w:tbl>
            <w:tblPr>
              <w:tblW w:type="dxa" w:w="4592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</w:tblGrid>
            <w:tr>
              <w:tc>
                <w:tcPr>
                  <w:tcW w:type="dxa" w:w="4592"/>
                  <w:tcBorders>
                    <w:top w:val="double" w:sz="6" w:space="0" w:color="14213D"/>
                    <w:left w:val="single" w:sz="4" w:space="0" w:color="D8CDB8"/>
                    <w:bottom w:val="single" w:sz="4" w:space="0" w:color="D8CDB8"/>
                    <w:right w:val="single" w:sz="4" w:space="0" w:color="D8CDB8"/>
                  </w:tcBorders>
                  <w:shd w:val="clear" w:color="auto" w:fill="FFFFFF"/>
                  <w:tcMar>
                    <w:top w:w="110" w:type="dxa"/>
                    <w:start w:w="170" w:type="dxa"/>
                    <w:bottom w:w="110" w:type="dxa"/>
                    <w:end w:w="170" w:type="dxa"/>
                  </w:tcMar>
                </w:tcPr>
                <w:p>
                  <w:pPr>
                    <w:keepNext/>
                    <w:spacing w:before="0" w:after="80"/>
                  </w:pPr>
                  <w:r>
                    <w:rPr>
                      <w:rFonts w:ascii="Georgia" w:hAnsi="Georgia" w:cs="Georgia" w:eastAsia="Georgia"/>
                      <w:b/>
                      <w:color w:val="14213D"/>
                      <w:spacing w:val="16"/>
                      <w:sz w:val="21"/>
                    </w:rPr>
                    <w:t>SPIELREGELN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Kein Brute Force – nur denken und zählen.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Zuordnungen dürfen geändert werden.</w:t>
                  </w:r>
                </w:p>
                <w:p>
                  <w:pPr>
                    <w:tabs>
                      <w:tab w:pos="397" w:val="left"/>
                    </w:tabs>
                    <w:spacing w:before="0" w:after="40"/>
                    <w:ind w:left="397" w:hanging="283"/>
                  </w:pPr>
                  <w:r>
                    <w:rPr>
                      <w:rFonts w:ascii="Calibri" w:hAnsi="Calibri" w:cs="Calibri" w:eastAsia="Calibri"/>
                      <w:color w:val="1F4E8C"/>
                      <w:sz w:val="22"/>
                    </w:rPr>
                    <w:t>•</w:t>
                    <w:tab/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>Fertig bei ≥ 95 % bzw. korrektem erstem Satz und vollständigem Alphabet.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8"/>
              </w:rPr>
            </w:pPr>
            <w:r/>
          </w:p>
        </w:tc>
      </w:tr>
    </w:tbl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19"/>
        </w:rPr>
        <w:t>Hinweiskarten</w:t>
      </w:r>
      <w:r>
        <w:rPr>
          <w:rFonts w:ascii="Calibri" w:hAnsi="Calibri" w:cs="Calibri" w:eastAsia="Calibri"/>
          <w:b w:val="0"/>
          <w:i w:val="0"/>
          <w:color w:val="1B1B1F"/>
          <w:sz w:val="19"/>
        </w:rPr>
        <w:t xml:space="preserve"> (Papier-Alternative, ab Minute 8 bei Bedarf):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F4E8C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EEF3FA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F4E8C"/>
                <w:spacing w:val="16"/>
                <w:sz w:val="21"/>
              </w:rPr>
              <w:t>HINWEISKARTEN · einzeln ausschneiden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  <w:gridCol w:w="3061"/>
              <w:gridCol w:w="3061"/>
            </w:tblGrid>
            <w:tr>
              <w:trPr>
                <w:cantSplit/>
                <w:tblHeader/>
              </w:trPr>
              <w:tc>
                <w:tcPr>
                  <w:tcW w:type="dxa" w:w="30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8"/>
                    </w:rPr>
                    <w:t>HINWEIS 1</w:t>
                  </w:r>
                </w:p>
              </w:tc>
              <w:tc>
                <w:tcPr>
                  <w:tcW w:type="dxa" w:w="30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8"/>
                    </w:rPr>
                    <w:t>HINWEIS 2</w:t>
                  </w:r>
                </w:p>
              </w:tc>
              <w:tc>
                <w:tcPr>
                  <w:tcW w:type="dxa" w:w="3061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8"/>
                    </w:rPr>
                    <w:t>HINWEIS 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0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i w:val="0"/>
                      <w:color w:val="1B1B1F"/>
                      <w:sz w:val="28"/>
                    </w:rPr>
                    <w:t>U</w:t>
                  </w:r>
                  <w:r>
                    <w:rPr>
                      <w:rFonts w:ascii="Calibri" w:hAnsi="Calibri" w:cs="Calibri" w:eastAsia="Calibri"/>
                      <w:i w:val="0"/>
                      <w:color w:val="1B1B1F"/>
                      <w:sz w:val="28"/>
                    </w:rPr>
                    <w:t xml:space="preserve"> ≙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8"/>
                    </w:rPr>
                    <w:t>e</w:t>
                  </w:r>
                </w:p>
              </w:tc>
              <w:tc>
                <w:tcPr>
                  <w:tcW w:type="dxa" w:w="30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YC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8"/>
                    </w:rPr>
                    <w:t xml:space="preserve"> ≙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8"/>
                    </w:rPr>
                    <w:t>ch</w:t>
                  </w:r>
                </w:p>
              </w:tc>
              <w:tc>
                <w:tcPr>
                  <w:tcW w:type="dxa" w:w="3061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 w:val="0"/>
                      <w:i w:val="0"/>
                      <w:color w:val="1B1B1F"/>
                      <w:sz w:val="28"/>
                    </w:rPr>
                    <w:t>RUM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8"/>
                    </w:rPr>
                    <w:t xml:space="preserve"> ≙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8"/>
                    </w:rPr>
                    <w:t>der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GEHEIMTEXTKARTE · WETTKNACKEN · auf A3 vergrößern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Abgefangen im Haus der Weisheit · monoalphabetische Substitution ·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486 Buchstaben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9185"/>
            </w:tblGrid>
            <w:tr>
              <w:tc>
                <w:tcPr>
                  <w:tcW w:type="dxa" w:w="9184"/>
                  <w:tcBorders>
                    <w:left w:val="single" w:sz="18" w:space="0" w:color="1F4E8C"/>
                  </w:tcBorders>
                  <w:shd w:val="clear" w:color="auto" w:fill="F2EADB"/>
                  <w:tcMar>
                    <w:top w:w="80" w:type="dxa"/>
                    <w:start w:w="160" w:type="dxa"/>
                    <w:bottom w:w="80" w:type="dxa"/>
                    <w:end w:w="120" w:type="dxa"/>
                  </w:tcMar>
                </w:tcPr>
                <w:p>
                  <w:pPr>
                    <w:spacing w:before="0" w:after="0" w:line="300" w:lineRule="auto"/>
                  </w:pP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DHCPQ NRUMV UDNCU DODIA PBRPR PMAUD OUIRD UBUGU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CMOUI OPBQI RIPYC ONDUQ UAUMN UOZUI RDUNY CMDSO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UIRUM BMDUY CUIQI RKUMN UMDIR DUPMP ADNYC UNKMP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YCUQI RNPHH UGIRP NVDNN UIRUM BPIZU IVUGO UDIUN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PAUIR NSDIR UOUDI EQIBU MNYCM UDAUM UDIUI AMDUS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RUIID UHPIR GUNUI FPIIE URUMA QYCNO PAUDN ORQMY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CUDIU IPIRU MUIUM NUOZO RUMNY CMUDA UMUMD IIUMO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NDYCP IRDUG UCMUR UNKCD GJNJK CUIPG FDIRD HPIZP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UCGOV DUJSO EURUN ZUDYC UITJM FJHHO DIEUR UMNKM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PYCUB DAOUN AQYCN OPAUI RDUNU CMCPU QSDBN DIRQI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RPIRU MURDU NUGOU IUMNY CUDIU IVUMB UIQBO UWOCP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OSDIR UONJN YCMDO OSQUM NYCMD OORUI BPIZU INYCG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sz w:val="16"/>
                    </w:rPr>
                  </w:r>
                  <w:r/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_____ _____ _____ _____ _____ _____ _____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/>
                      <w:color w:val="1B1B1F"/>
                      <w:spacing w:val="24"/>
                      <w:sz w:val="25"/>
                    </w:rPr>
                    <w:t>QUNNU G</w:t>
                  </w:r>
                  <w:r>
                    <w:br/>
                  </w:r>
                  <w:r>
                    <w:rPr>
                      <w:rFonts w:ascii="Consolas" w:hAnsi="Consolas" w:cs="Consolas" w:eastAsia="Consolas"/>
                      <w:b w:val="0"/>
                      <w:color w:val="4A4A55"/>
                      <w:spacing w:val="24"/>
                      <w:sz w:val="23"/>
                    </w:rPr>
                    <w:t>_____ _</w:t>
                  </w:r>
                </w:p>
              </w:tc>
            </w:tr>
          </w:tbl>
          <w:p/>
          <w:p>
            <w:pPr>
              <w:spacing w:before="0" w:after="0" w:line="240" w:lineRule="auto"/>
              <w:rPr>
                <w:sz w:val="12"/>
              </w:rPr>
            </w:pPr>
            <w:r/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19"/>
              </w:rPr>
              <w:t>Zuordnungsleiste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 xml:space="preserve"> (Geheimtext → Klartext):</w:t>
            </w:r>
          </w:p>
          <w:tbl>
            <w:tblPr>
              <w:tblW w:type="dxa" w:w="9185"/>
              <w:tblBorders>
                <w:top w:val="single" w:sz="4" w:space="0" w:color="D8CDB8"/>
                <w:left w:val="single" w:sz="4" w:space="0" w:color="D8CDB8"/>
                <w:bottom w:val="single" w:sz="4" w:space="0" w:color="D8CDB8"/>
                <w:right w:val="single" w:sz="4" w:space="0" w:color="D8CDB8"/>
                <w:insideH w:val="single" w:sz="4" w:space="0" w:color="D8CDB8"/>
                <w:insideV w:val="single" w:sz="4" w:space="0" w:color="D8CDB8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768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  <w:gridCol w:w="323"/>
            </w:tblGrid>
            <w:tr>
              <w:trPr>
                <w:cantSplit/>
                <w:tblHeader/>
              </w:trPr>
              <w:tc>
                <w:tcPr>
                  <w:tcW w:type="dxa" w:w="768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geheim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A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B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C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D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E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F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G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H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I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J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K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L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M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N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O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P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Q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R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S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T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U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V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W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X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Y</w:t>
                  </w:r>
                </w:p>
              </w:tc>
              <w:tc>
                <w:tcPr>
                  <w:tcW w:type="dxa" w:w="324"/>
                  <w:shd w:val="clear" w:color="auto" w:fill="F2EADB"/>
                  <w:tcMar>
                    <w:top w:w="40" w:type="dxa"/>
                    <w:start w:w="70" w:type="dxa"/>
                    <w:bottom w:w="4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Z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68"/>
                  <w:shd w:val="clear" w:color="auto" w:fill="F2EADB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Consolas" w:hAnsi="Consolas" w:cs="Consolas" w:eastAsia="Consolas"/>
                      <w:b/>
                      <w:i w:val="0"/>
                      <w:color w:val="1B1B1F"/>
                      <w:sz w:val="19"/>
                    </w:rPr>
                    <w:t>klar</w:t>
                  </w: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  <w:tc>
                <w:tcPr>
                  <w:tcW w:type="dxa" w:w="324"/>
                  <w:tcMar>
                    <w:top w:w="30" w:type="dxa"/>
                    <w:start w:w="70" w:type="dxa"/>
                    <w:bottom w:w="30" w:type="dxa"/>
                    <w:end w:w="70" w:type="dxa"/>
                  </w:tcMar>
                </w:tcPr>
                <w:p>
                  <w:pPr>
                    <w:spacing w:before="0" w:after="0"/>
                    <w:jc w:val="center"/>
                  </w:pPr>
                </w:p>
              </w:tc>
            </w:tr>
          </w:tbl>
          <w:p/>
          <w:p>
            <w:pPr>
              <w:spacing w:before="0" w:after="0" w:line="240" w:lineRule="auto"/>
              <w:rPr>
                <w:sz w:val="6"/>
              </w:rPr>
            </w:pPr>
            <w:r/>
          </w:p>
        </w:tc>
      </w:tr>
    </w:tbl>
    <w:p>
      <w:pPr>
        <w:spacing w:before="0" w:after="0" w:line="240" w:lineRule="auto"/>
        <w:rPr>
          <w:sz w:val="8"/>
        </w:rPr>
      </w:pPr>
      <w:r/>
    </w:p>
    <w:p>
      <w:r>
        <w:br w:type="page"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8A5F1A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BF3E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RÜCKSEITE · VORGEZÄHLT (erst bei Bedarf aufklappen)</w:t>
            </w: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832000" cy="1924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aeufigkeit_13e0457cfc058b44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1924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Häufigkeiten: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 94 · I 52 · D 42 · N 37 · M 36 · R 32 · O 28 · C 27 · P 27 · Y 17 · Q 14 · A 13 · B 11 · G 11 · H 7 · S 7 · J 6 · Z 6 · K 5 · V 5 · E 4 · F 3 · T 1 · W 1 (24 verschiedene Zeichen).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Häufigste Bigramme: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UI 21 · IR 20 · UM 20 · YC 17 · RU 14 · DI 13.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Häufigste Dreiergruppen: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RUM, UMN, NYC je 8 ×.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19"/>
              </w:rPr>
              <w:t>Zum Vergleich – Deutsch (Beutelspacher): E 17,40 · N 9,78 · I 7,55 · S 7,27 · R 7,00 · A 6,51 · T 6,15 · D 5,08 · H 4,76 · U 4,35 %.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FUNKRAUM W1 · Wettknacken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