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Kryptolabor nach der Krypto-Werkstatt:</w:t>
      </w:r>
      <w:r>
        <w:rPr>
          <w:rFonts w:ascii="Calibri" w:hAnsi="Calibri" w:cs="Calibri" w:eastAsia="Calibri"/>
          <w:b w:val="0"/>
          <w:i w:val="0"/>
          <w:color w:val="1B1B1F"/>
          <w:sz w:val="22"/>
        </w:rPr>
        <w:t xml:space="preserve"> Chiffrierscheibe, Skytale &amp; Gitter (mit Pflügen und Fleißner-Schablone), Polybios &amp; Playfair sowie die Zusatzwerkzeuge Codes &amp; Signale und Versteckte Botschaften beruhen auf Ideen von A. Bodendiek (Krypto-Werkstatt) – Objekte zum direkten Bedienen mit Nachspielen in Einzelschritten, gut für den Einstieg in DS 1/2, als Stationenlernen oder zur Differenzierung. Die Konventionen (A = 1, Füllzeichen X, Leserichtung) sind an Archivwissen und Akten angepasst. In Level 0.4 ist das Schlüsselwort des Polybios-Werkzeugs fest, damit es die Aufgaben nicht vorrechnet (L55); Mit Schlüsselwörtern aus Aufgaben, Akten, Bossen und Warm-up wechselt das Werkzeug für Lernende auch im freien Labor in den geführten Modus (Erkenner, seit 1.2.0; Lehrkräfte frei).</w:t>
      </w:r>
    </w:p>
    <w:p>
      <w:pPr>
        <w:spacing w:before="0" w:after="80"/>
      </w:pPr>
      <w:r>
        <w:rPr>
          <w:rFonts w:ascii="Calibri" w:hAnsi="Calibri" w:cs="Calibri" w:eastAsia="Calibri"/>
          <w:b/>
          <w:i w:val="0"/>
          <w:color w:val="1B1B1F"/>
          <w:sz w:val="22"/>
        </w:rPr>
        <w:t>Werkzeuge in den Aufgaben (Version 1.2.0):</w:t>
      </w:r>
      <w:r>
        <w:rPr>
          <w:rFonts w:ascii="Calibri" w:hAnsi="Calibri" w:cs="Calibri" w:eastAsia="Calibri"/>
          <w:b w:val="0"/>
          <w:i w:val="0"/>
          <w:color w:val="1B1B1F"/>
          <w:sz w:val="22"/>
        </w:rPr>
        <w:t xml:space="preserve"> In 19 Aufgaben dieser Welt klappt das passende Werkzeug direkt in der Aufgabe auf (Panel; ab 1100 px Bildschirmbreite als Seitenleiste neben dem Antwortfeld, sonst unter der Aufgabe; „Im Labor öffnen“ als Zweitlink; im Boss nie). Archivfund: Skytale &amp; Gitter geführt (A-01) · 0.1: Codes &amp; Signale frei (L1-02), Skytale &amp; Gitter geführt (L1-03, L1-04, L1-05, L1-06, L1-07), Skytale &amp; Gitter frei (L1-08) · 0.2: Chiffrierscheibe geführt (L2-01, L2-02, L2-03, L2-04, L2-05, L2-08) · 0.3: Chiffrierscheibe geführt (L3-05) · 0.4: Polybios &amp; Playfair frei (L4-01, L4-02, L4-05, L4-07).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 Ausnahme W0-L2-04 (Entscheidung L60): Die Liste aller Verschiebungen mit dem Geheimtext der Aufgabe bleibt erlaubt – das Erkennen des Klartexts ist dort die Lernleistung. </w:t>
      </w:r>
      <w:r>
        <w:rPr>
          <w:rFonts w:ascii="Calibri" w:hAnsi="Calibri" w:cs="Calibri" w:eastAsia="Calibri"/>
          <w:b/>
          <w:i w:val="0"/>
          <w:color w:val="1B1B1F"/>
          <w:sz w:val="22"/>
        </w:rPr>
        <w:t>Seit Version 1.3.0</w:t>
      </w:r>
      <w:r>
        <w:rPr>
          <w:rFonts w:ascii="Calibri" w:hAnsi="Calibri" w:cs="Calibri" w:eastAsia="Calibri"/>
          <w:b w:val="0"/>
          <w:i w:val="0"/>
          <w:color w:val="1B1B1F"/>
          <w:sz w:val="22"/>
        </w:rPr>
        <w:t xml:space="preserve"> sind diese Panels beim Öffnen der Aufgabe schon aufgeklappt (Schalter „Skytale-Stab benutzen“, „Gartenzaun benutzen“, „Fleißner-Karton benutzen“, „Chiffrierscheibe benutzen“ …), und geführt wird am Objekt selbst: Die Lernenden stempeln den Klartext auf den Holzstab und lesen beim Abwickeln Runde für Runde ab bzw. lesen den aufgewickelten Geheimtext Zeile für Zeile entlang des Stabs; am Zaun schreiben sie im Zickzack und lesen Schiene für Schiene; am Fleißner-Karton füllen sie die leuchtenden Löcher, der Karton dreht sich je Lage. Die Tabelle der Aufgabe bleibt das Antwortfeld.</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