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F4E8C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1 · DAS HAUS DER WEISHEIT</w:t>
            </w:r>
          </w:p>
        </w:tc>
        <w:tc>
          <w:tcPr>
            <w:tcW w:type="dxa" w:w="2268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Gewürzliste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Anlage (Alphabet A = 1 … Z = 26);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Datum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AUSGANGSLAGE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Gewürzhändler aus Basra schickt seinem Geschäftspartner in Bagdad regelmäßig Bestelllisten. Damit die Konkurrenz nicht erfährt, welche Gewürze knapp werden, verschlüsselt er sie mit einem Verfahren, das 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SAFRAN-29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nennt (siehe Material).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Anlage – Nummerierung A = 1 … Z = 26: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077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</w:tblGrid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A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B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C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D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E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F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G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H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I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J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K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L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M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N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O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P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Q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R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S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T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U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V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W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X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Y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Z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  <w:t>A = 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26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1F4E8C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Das Verfahren SAFRAN-29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MATERIAL · DAS VERFAHREN SAFRAN-29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Nummerierung: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1, B = 2, …, Z =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(Anlage). Schlüssel: ein Zahlenpaar (m, t) mit 1 ≤ m ≤ 28 und 0 ≤ t ≤ 28.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Buchstabe mit der Nummer p wird durch die Zahl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 = (m · p + t) mod 29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ersetzt; c wird zweistellig geschrieben (00 … 28).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 = (d · (c − t)) mod 29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wobei d der inverse Schlüssel zu m ist, d. h. (m · d) mod 29 = 1. Ist c − t negativ, addiert man vorher 29.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(m, t) = (3, 7): z = 26 → 3 · 26 + 7 = 85, 85 mod 29 = 27; i = 9 → 34 mod 29 = 5; m = 13 → 46 mod 29 = 17; t = 20 → 67 mod 29 = 9. „zimt“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27 05 17 09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Inverse modulo 29 (Auszug):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20"/>
              <w:gridCol w:w="1020"/>
              <w:gridCol w:w="1020"/>
              <w:gridCol w:w="1020"/>
              <w:gridCol w:w="1020"/>
              <w:gridCol w:w="1020"/>
              <w:gridCol w:w="1020"/>
              <w:gridCol w:w="1020"/>
              <w:gridCol w:w="1020"/>
            </w:tblGrid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8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9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15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10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22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6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25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11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13</w:t>
                  </w:r>
                </w:p>
              </w:tc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17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Geheimtext zum Klartext „anis“ mit dem Schlüssel (3, 7).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Klartext zum Geheimtext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28 19 05 18 07 14 22 27 05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der mit dem Schlüssel (5, 2) erzeugt wurde.</w:t>
      </w:r>
      <w:r>
        <w:rPr>
          <w:rFonts w:ascii="Calibri" w:hAnsi="Calibri" w:cs="Calibri" w:eastAsia="Calibri"/>
          <w:b/>
          <w:color w:val="4A4A55"/>
          <w:sz w:val="20"/>
        </w:rPr>
        <w:tab/>
        <w:t>[4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Entscheiden Sie 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ob SAFRAN-29 ein Transpositions- oder ein Substitutionsverfahren ist und ob es mono- oder polyalphabetisch arbeitet.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dass bei SAFRAN-29 jeder Faktor m ∈ {1, …, 28} eine eindeutige Entschlüsselung erlaubt,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einem Gegenbeispiel, dass dies bei einer Variante mit dem Modul 26 (Nummerierung A = 1 … Z = 26) für m = 2 nicht gilt.</w:t>
      </w:r>
      <w:r>
        <w:rPr>
          <w:rFonts w:ascii="Calibri" w:hAnsi="Calibri" w:cs="Calibri" w:eastAsia="Calibri"/>
          <w:b/>
          <w:color w:val="4A4A55"/>
          <w:sz w:val="20"/>
        </w:rPr>
        <w:tab/>
        <w:t>[4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e)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Anzahl der Schlüssel von SAFRAN-29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Sicherheit gegenüber einem Brute-Force-Angriff.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f)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Die Konkurrenz hat viele lange Bestelllisten abgefangen. Die häufigste Zahl ist 22, die zweithäufigste 20.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wie man daraus den Schlüssel gewinnen kann,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ihn unter der Annahme, dass 22 für E und 20 für N steht.</w:t>
      </w:r>
      <w:r>
        <w:rPr>
          <w:rFonts w:ascii="Calibri" w:hAnsi="Calibri" w:cs="Calibri" w:eastAsia="Calibri"/>
          <w:b/>
          <w:color w:val="4A4A55"/>
          <w:sz w:val="20"/>
        </w:rPr>
        <w:tab/>
        <w:t>[5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g)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Entscheiden Sie 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ob die folgende Aussage korrekt ist: „Wendet man SAFRAN-29 zweimal hintereinander mit den Schlüsseln (m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t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und (m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t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an (die zweite Anwendung auf die Zahlen der ersten), wird das Verfahren deutlich sicherer.“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spacing w:before="200" w:after="0"/>
        <w:jc w:val="center"/>
      </w:pPr>
      <w:r>
        <w:rPr>
          <w:rFonts w:ascii="Georgia" w:hAnsi="Georgia" w:cs="Georgia" w:eastAsia="Georgia"/>
          <w:b/>
          <w:color w:val="8A5F1A"/>
          <w:sz w:val="22"/>
        </w:rPr>
        <w:t>Viel Erfolg!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W1 · Die Gewürzliste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