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5_be3719ffa4802d1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5 · DAS NETZ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PAPIER-BOSS W5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Der Messenger – Erwartungshorizont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Abitur-Anlage (Alphabet, Nummerierung A = 1 … Z = 26); kein Taschenrechner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 BE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0E7C86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Der Messenger „Brieftaube“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1a)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den FEDER-Hash der Nachricht „kommt morgen“.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Normalisiert „kommtmorgen“ (11 Zeichen) → Blöcke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kom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·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mtm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·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org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·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enx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(Auffüllen mit x!)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Blockwerte 11 + 30 + 39 = 80 · 13 + 40 + 39 = 92 · 15 + 36 + 21 = 72 · 5 + 28 + 72 = 105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Summe 349; 349 mod 37 = 349 − 333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Letzten Block nicht aufgefüllt (P4) → Blockwert „en“ = 33 statt 105, Summe 277 → 18 (falsch); A = 0 statt A = 1 (P1); mod falsch (P2).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1b)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dass es für den FEDER-Hash verschiedene Nachrichten mit gleichem Hashwert geben muss.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Der Hashwert hat nur 37 mögliche Werte, es gibt aber unendlich (beliebig) viele Nachrichten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Nach dem Schubfachprinzip müssen mehrere Nachrichten denselben Hashwert haben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Nur ein Kollisionsbeispiel statt Begründung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1c)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Zeigen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an zwei verschiedenartigen Manipulationen, dass ein Angreifer die Nachricht aus a) so verändern kann, dass der FEDER-Hash gleich bleibt. Die veränderten Nachrichten müssen keinen Sinn ergeben.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Manipulation 1 mit Nachweis gleicher Blocksumme, z. B.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Blöcke vertauschen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: „mtmkomorgen“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mtm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·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kom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·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org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·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enx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, Summe 349 → 16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Manipulation 2 mit Nachweis, z. B.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innerhalb eines Blocks ausgleichen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(erster Buchstabe +2, zweiter −1):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kom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mnm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(13 + 28 + 39 = 80) → „mnmmtmorgen“ → 16; oder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Auffüllzeichen x anhängen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: „kommtmorgenx“ ergibt dieselben Blöcke → 16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Prinzip benannt (Summe der Blockwerte bleibt gleich bzw. Reihenfolge der Blöcke wirkt nicht)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Jede Manipulation mit nachgerechneter Gleichheit der Blocksumme zählt (z. B. zweiter Buchstabe +3, dritter −2 in einem Block; Ausgleich zwischen zwei Blöcken: erster Buchstabe in Block 1 +1, erster in Block 2 −1). „Verschiedenartig“ heißt: unterschiedliches Prinzip (Vertauschen / Ausgleichen / Auffüllen), nicht zweimal dasselbe Prinzip.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Nur eine Manipulationsart oder ohne Nachrechnung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Untersuchen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ob der FEDER-Hash den Lawineneffekt erfüllt.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Ändert man z. B. den ersten Buchstaben eines Blocks um 1, ändert sich der Hashwert nur um 1 (Beispiel mit Rechnung)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Lawineneffekt nicht erfüllt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Urteil ohne Beispielrechnung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1e)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Ergänzen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in Material 2 an den Stellen (1) bis (4) die passenden Angaben (Verfahren bzw. Schlüsselart und Inhaber).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(1) Hashfunktion FEDER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(2) privater Schlüssel von Alice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(3) öffentlicher Schlüssel von Alice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(4)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und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vergleichen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(2) Bobs Schlüssel (P9); (4) der Vergleich fehlt; Schlüsselart ohne Inhaber.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wie ein Angreifer, der den Schlüsselserver kontrolliert, die Vertraulichkeit der Nachrichten zwischen Alice und Bob aushebeln kann.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Angreifer hinterlegt bzw. liefert seinen eigenen öffentlichen Schlüssel als Bobs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Alice verschlüsselt mit diesem Schlüssel, der Angreifer entschlüsselt mit seinem privaten Schlüssel und liest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Er verschlüsselt mit Bobs echtem öffentlichen Schlüssel neu und leitet weiter, sodass niemand den Angriff bemerkt (Man-in-the-Middle)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„Angreifer knackt die Verschlüsselung“ (fachlich falsch – er tauscht Schlüssel).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Beschreiben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wie Zertifikate einer Zertifizierungsstelle diesen Angriff verhindern.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Eine CA bestätigt mit ihrer Signatur die Zuordnung von Bobs öffentlichem Schlüssel zu Bob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Alice prüft die Signatur mit dem öffentlichen Schlüssel der CA (Vertrauensanker) und erkennt so einen untergeschobenen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Zertifikat „verschlüsselt“ die Nachricht (P5).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1h)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begründet, ob die folgende Werbeaussage korrekt ist: „Weil Brieftaube jede Nachricht digital signiert, kann niemand außer dem Empfänger sie lesen.“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Falsch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Eine Signatur sichert Integrität und Authentizität, die Nachricht bleibt aber lesbar; Vertraulichkeit erfordert zusätzlich Verschlüsselung mit Bobs öffentlichem Schlüssel bzw. hybrid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Signatur = Verschlüsselung (P5/P9).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1i)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Beurteilen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die Regelungen (A) und (B) aus Material 3 im Hinblick auf Grundsätze der Datenschutz-Grundverordnung (DSGVO).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(A) verstößt gegen Speicherbegrenzung (zehn Jahre ohne Notwendigkeit) und Integrität/Vertraulichkeit (unverschlüsselt)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(B) verstößt gegen Zweckbindung (Werbung) und Datenminimierung/Rechtmäßigkeit (Daten Dritter ohne Einwilligung)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Urteil: beide Regelungen sind mit der DSGVO nicht vereinbar bzw. nur mit ausdrücklicher Einwilligung und Begrenzung zulässig; im Gegensatz dazu entspricht (C) dem Grundsatz Integrität und Vertraulichkeit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Auch Transparenz und Rechtmäßigkeit (fehlende Einwilligung der Kontakte) anrechnen.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Grundsätze nur aufgezählt, kein Urteil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0E7C86"/>
          <w:sz w:val="24"/>
        </w:rPr>
        <w:t>Verteilung auf die Anforderungsbereiche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gesamt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11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Anteil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29 %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46 %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25 %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100 %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0E7C86"/>
          <w:sz w:val="24"/>
        </w:rPr>
        <w:t>Notenschlüssel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Punkte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96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ab BE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16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PAPIER-BOSS W5 · Der Messenger · EH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