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90"/>
        <w:gridCol w:w="6066"/>
        <w:gridCol w:w="2268"/>
      </w:tblGrid>
      <w:tr>
        <w:tc>
          <w:tcPr>
            <w:tcW w:type="dxa" w:w="1191"/>
            <w:vMerge w:val="restart"/>
            <w:shd w:val="clear" w:color="auto" w:fill="14213D"/>
            <w:vAlign w:val="cente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" cy="55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egel6_fc53bfa518f9cbd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" cy="5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6"/>
            <w:shd w:val="clear" w:color="auto" w:fill="14213D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FFFFFF"/>
                <w:spacing w:val="4"/>
                <w:sz w:val="16"/>
              </w:rPr>
              <w:t>ENTSCHLÜSSELT · NUR FÜR LEHRKRÄFTE · INFORMATIK · KRYPTOLOGIE</w:t>
            </w:r>
          </w:p>
        </w:tc>
        <w:tc>
          <w:tcPr>
            <w:tcW w:type="dxa" w:w="2268"/>
            <w:shd w:val="clear" w:color="auto" w:fill="14213D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  <w:jc w:val="right"/>
            </w:pPr>
          </w:p>
        </w:tc>
      </w:tr>
      <w:tr>
        <w:tc>
          <w:tcPr>
            <w:tcW w:type="dxa" w:w="1191"/>
            <w:vMerge/>
          </w:tcPr>
          <w:p/>
        </w:tc>
        <w:tc>
          <w:tcPr>
            <w:tcW w:type="dxa" w:w="6066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/>
                <w:color w:val="4A4A55"/>
                <w:spacing w:val="10"/>
                <w:sz w:val="19"/>
              </w:rPr>
              <w:t>KLAUSUR eA</w:t>
            </w:r>
          </w:p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14213D"/>
                <w:sz w:val="34"/>
              </w:rPr>
              <w:t>DOMINO · Das Wetternetz – Erwartungshorizont</w:t>
            </w:r>
          </w:p>
        </w:tc>
        <w:tc>
          <w:tcPr>
            <w:tcW w:type="dxa" w:w="2268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40"/>
              <w:jc w:val="right"/>
            </w:pP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7A2E2E"/>
              </w:rPr>
              <w:t xml:space="preserve"> eA </w:t>
            </w:r>
            <w:r>
              <w:t xml:space="preserve">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LÖSUNG </w:t>
            </w:r>
          </w:p>
        </w:tc>
      </w:tr>
    </w:tbl>
    <w:p>
      <w:pPr>
        <w:spacing w:before="0" w:after="40"/>
      </w:pP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2381"/>
        <w:gridCol w:w="7144"/>
      </w:tblGrid>
      <w:tr>
        <w:trPr>
          <w:cantSplit/>
        </w:trPr>
        <w:tc>
          <w:tcPr>
            <w:tcW w:type="dxa" w:w="238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Bearbeitungszeit</w:t>
            </w:r>
          </w:p>
        </w:tc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135 Minuten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Hilfsmittel</w:t>
            </w:r>
          </w:p>
        </w:tc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ausschließlich die Anlage der Ergänzenden Hinweise zum KC Informatik (Juni 2025) in ausgedruckter Form: Alphabet mit Nummerierung (A = 1 … Z = 26), Vigenère-Quadrat, ASCII-Tabelle (Auszug 32–126) – im Kurs als Werkzeugkarte WK1 ausgegeben, liegt dieser Prüfung als Anlage bei. Kein Taschenrechner, keine Formelsammlung, keine eigenen Notizen.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Bewertungseinheiten</w:t>
            </w:r>
          </w:p>
        </w:tc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60 BE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Prüfung</w:t>
            </w:r>
          </w:p>
        </w:tc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Klausur · Informatik · erhöhtes Anforderungsniveau (eA)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Thema</w:t>
            </w:r>
          </w:p>
        </w:tc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Kryptologie – Kryptos · Die Zeitreise der Geheimschriften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Name</w:t>
            </w:r>
          </w:p>
        </w:tc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4A4A55"/>
                <w:sz w:val="20"/>
              </w:rPr>
              <w:t>____________________________________________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Kurs</w:t>
            </w:r>
          </w:p>
        </w:tc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4A4A55"/>
                <w:sz w:val="20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Datum</w:t>
            </w:r>
          </w:p>
        </w:tc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4A4A55"/>
                <w:sz w:val="20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Bewertungsgrundsätze</w:t>
            </w:r>
          </w:p>
        </w:tc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 xml:space="preserve">Bewertet wird nach Kernpunkten; gleichwertige, fachlich richtige Alternativen werden voll anerkannt.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Folgefehler: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 xml:space="preserve"> Wer mit einem falschen Zwischenergebnis korrekt weiterrechnet, erhält für die Folgeschritte volle Punkte (außer das Ergebnis wird dadurch trivial). „Beurteilen“ ohne ausdrückliches Urteil sowie „begründen/erläutern“ ohne kausale Verknüpfung bzw. ohne Beispiel: höchstens die Hälfte der BE. „Entscheiden (begründet)“: Entscheidung ohne Begründung bzw. Begründung mit falscher Entscheidung: 0 BE. Fachbegriffe werden erwartet.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60" w:after="80"/>
      </w:pPr>
      <w:r>
        <w:rPr>
          <w:rFonts w:ascii="Georgia" w:hAnsi="Georgia" w:cs="Georgia" w:eastAsia="Georgia"/>
          <w:b/>
          <w:color w:val="8A5F1A"/>
          <w:sz w:val="28"/>
        </w:rPr>
        <w:t>Aufgabe 1</w:t>
      </w:r>
      <w:r>
        <w:rPr>
          <w:rFonts w:ascii="Georgia" w:hAnsi="Georgia" w:cs="Georgia" w:eastAsia="Georgia"/>
          <w:b/>
          <w:color w:val="1B1B1F"/>
          <w:sz w:val="28"/>
        </w:rPr>
        <w:t xml:space="preserve"> · DOMINO</w:t>
      </w:r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1a)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Bestimmen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Sie den Geheimtext zum Klartext „wuerfel“ mit dem Schlüssel s = 9.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Paare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WU ER FE LX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(X angehängt, da 7 Zeichen)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WU: 23 + 21 + 9 = 53 → 1 A; 1 + 21 = 22 V · ER: 5 + 18 + 9 = 32 → 6 F; 6 + 18 = 24 X · FE: 6 + 5 + 9 = 20 T; 20 + 5 = 25 Y · LX: 12 + 24 + 9 = 45 → 19 S; 19 + 24 = 43 → 17 Q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Geheimtext </w:t>
            </w:r>
            <w:r>
              <w:rPr>
                <w:rFonts w:ascii="Consolas" w:hAnsi="Consolas" w:cs="Consolas" w:eastAsia="Consolas"/>
                <w:b/>
                <w:i w:val="0"/>
                <w:color w:val="1B1B1F"/>
                <w:sz w:val="19"/>
              </w:rPr>
              <w:t>AVFXT YSQ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X vergessen (P4); g2 = g1 + x statt g1 + y (P4); 53 mod 26 falsch (P2).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1b)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Bestimmen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Sie den Klartext zum Geheimtext </w:t>
      </w:r>
      <w:r>
        <w:rPr>
          <w:rFonts w:ascii="Consolas" w:hAnsi="Consolas" w:cs="Consolas" w:eastAsia="Consolas"/>
          <w:b w:val="0"/>
          <w:i w:val="0"/>
          <w:color w:val="4A4A55"/>
          <w:sz w:val="19"/>
        </w:rPr>
        <w:t>GJTUV DYZYS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>, der mit dem Schlüssel s = 11 erzeugt wurde. Verwenden Sie die Vorlage in Abbildung 2.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Umkehrung hergeleitet: aus g2 = g1 + y folgt y = (g2 − g1) mod 26, aus g1 = x + y + s folgt x = (g1 − y − s) mod 26, jeweils Rest 0 → 26;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y muss vor x bestimmt werden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GJ (7, 10): y = 3 C, x = 7 − 3 − 11 = −7 → 19 S · TU (20, 21): y = 1 A, x = 8 H · VD (22, 4): y = −18 → 8 H, x = 22 − 8 − 11 = 3 C · YZ (25, 26): y = 1 A, x = 13 M · YS (25, 19): y = −6 → 20 T, x = 25 − 20 − 11 = −6 → 20 T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2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Klartext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schachmatt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s addiert statt subtrahiert (P3); negative Reste (P2); x vor y berechnet und dabei y „geraten“ (P3).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1c)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Entscheiden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Sie begründet, ob es sich bei DOMINO um eine Transposition oder um eine Substitution handelt.</w:t>
      </w:r>
      <w:r>
        <w:br/>
      </w:r>
      <w:r>
        <w:rPr>
          <w:rFonts w:ascii="Calibri" w:hAnsi="Calibri" w:cs="Calibri" w:eastAsia="Calibri"/>
          <w:b/>
          <w:i w:val="0"/>
          <w:color w:val="4A4A55"/>
          <w:sz w:val="19"/>
        </w:rPr>
        <w:t>Untersuchen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Sie außerdem, ob DOMINO bezogen auf einzelne Buchstaben bzw. bezogen auf Buchstabenpaare monoalphabetisch arbeitet.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Substitution: Die Zeichen werden durch berechnete andere Zeichen ersetzt, die Reihenfolge der Paare bleibt erhalten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Paare: Bei festem s wird jedes Klartextpaar stets in dasselbe Geheimtextpaar überführt, und aus jedem Geheimtextpaar lässt sich das Klartextpaar eindeutig zurückrechnen → monoalphabetische Substitution von Buchstabenpaaren (bigraphische Substitution)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Einzelbuchstaben: Ein Geheimtextbuchstabe hängt von beiden Buchstaben des Paares ab; derselbe Klartextbuchstabe wird je nach Partner verschieden verschlüsselt, z. B. Abbildung 1: E in IE → W, E in RE → F; TT → RL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Bezogen auf einzelne Buchstaben arbeitet DOMINO also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nicht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monoalphabetisch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„Transposition, weil Paare gebildet werden“ (P5); „polyalphabetisch“ ohne Unterscheidung der Ebenen (P5).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1d)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Erläutern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Sie, warum eine Häufigkeitsanalyse der einzelnen Geheimtextbuchstaben bei DOMINO kaum weiterhilft und wie stattdessen eine Häufigkeitsanalyse von Buchstabenpaaren eingesetzt werden kann. Gehen Sie dabei auch auf die Voraussetzungen ein.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Einzelbuchstaben: Die Häufigkeit eines Geheimtextbuchstabens hängt von vielen verschiedenen Klartextpaaren ab; die typische Verteilung des Deutschen (E, N, I …) bleibt nicht erhalten, eine Zuordnung Buchstabe ↔ Buchstabe ist nicht möglich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Paare: Da Paare monoalphabetisch verschlüsselt werden, bleibt die Häufigkeitsverteilung der Klartextpaare erhalten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Man zählt die Geheimtextpaare (nur an den Paarpositionen 1–2, 3–4, …) und ordnet die häufigsten den häufigsten deutschen Bigrammen zu (z. B. EN, ER, CH, EI, DE)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Voraussetzungen: genügend langer Geheimtext (es gibt 676 mögliche Paare – mehrere hundert Zeichen nötig), bekannte Sprache, korrekte Paargrenzen; ein sicher zugeordnetes Paar liefert bereits s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„Häufigkeitsanalyse funktioniert immer“ ohne Begründung (P6); Bigramme über die Paargrenzen hinweg gezählt (P4).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1e) 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>Eve hat den Geheimtext in Abbildung 3 abgefangen. Sie weiß, dass Einladungen des Vereins stets mit dem Wort „das“ beginnen.</w:t>
      </w:r>
      <w:r>
        <w:br/>
      </w:r>
      <w:r>
        <w:rPr>
          <w:rFonts w:ascii="Calibri" w:hAnsi="Calibri" w:cs="Calibri" w:eastAsia="Calibri"/>
          <w:b/>
          <w:i w:val="0"/>
          <w:color w:val="4A4A55"/>
          <w:sz w:val="19"/>
        </w:rPr>
        <w:t>Bestimmen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Sie den Schlüssel s und überprüfen Sie Ihr Ergebnis mit dem zweiten Geheimtextzeichen.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Erstes Paar „da“ (x = 4, y = 1) ↔ Geheimtextpaar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VW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: 22 = (4 + 1 + s) mod 26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s = 17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Probe: g2 = (22 + 1) mod 26 = 23 = W ✓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Alternativen: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zweites Paar „s?“ nicht nötig; Ausprobieren aller s mit Probe ist gleichwertig.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Werte mit A = 0 (P1); s = 22 − 4 − 1 = 17 ohne Probe (−1 BE).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1f)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Beurteilen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Sie die Sicherheit des Verfahrens DOMINO.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Kriterien (mindestens zwei, je mit Begründung): nur 26 Schlüssel → Brute Force in Minuten; Known-Plaintext: ein bekanntes Klartextpaar verrät s (vgl. e)); Bigramm-Häufigkeitsanalyse bei langen Texten; nach Kerckhoffs ist das Verfahren bekannt, die Sicherheit liegt allein im Schlüssel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2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Urteil: DOMINO ist unsicher und schützt nur gegen zufällige Mitleser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Urteil fehlt (P10); „sicher, weil Paare“ (P8).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1g)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Entscheiden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Sie für die folgenden Aussagen jeweils begründet, ob sie korrekt oder falsch sind.</w:t>
      </w:r>
      <w:r>
        <w:br/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>(1) DOMINO-PLUS mit dem Schlüsselwort HHHH bietet keinen Sicherheitsgewinn gegenüber DOMINO.</w:t>
      </w:r>
      <w:r>
        <w:br/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>(2) Bei DOMINO-PLUS werden gleiche Klartextpaare stets in gleiche Geheimtextpaare verschlüsselt.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(1)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korrekt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: H hat den Wert 8, also s = 7 für jedes Paar; DOMINO-PLUS mit HHHH ist identisch mit DOMINO mit s = 7 (z. B. „eineeine“ ergibt in beiden Fällen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UDZEU DZE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); Schlüsselraum und Angriffe wie bei DOMINO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2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(2)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falsch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: Der Schlüssel s hängt von der Paarnummer ab; gleiche Paare an Stellen mit verschiedenen Schlüsselbuchstaben werden verschieden verschlüsselt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(2) Gegenbeispiel: Schlüsselwort RAT, Klartext „eineeine“: 1. Paar EI mit R (s = 17) →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EN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, 3. Paar EI mit T (s = 19) →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GP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. Gleich sind sie nur, wenn die Schlüsselbuchstaben übereinstimmen (z. B. Abstand ein Vielfaches der Schlüsselwortlänge)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bei (1) „falsch, weil ein Schlüsselwort verwendet wird“ (P7/P8); bei (2) Begründung nur mit DOMINO statt DOMINO-PLUS (P10).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1h) 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>Abbildung 5 zeigt ein unvollständiges Struktogramm der Operation dominoPaar, die ein Klartextpaar mit DOMINO verschlüsselt.</w:t>
      </w:r>
      <w:r>
        <w:br/>
      </w:r>
      <w:r>
        <w:rPr>
          <w:rFonts w:ascii="Calibri" w:hAnsi="Calibri" w:cs="Calibri" w:eastAsia="Calibri"/>
          <w:b/>
          <w:i w:val="0"/>
          <w:color w:val="4A4A55"/>
          <w:sz w:val="19"/>
        </w:rPr>
        <w:t>Ergänzen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Sie das Struktogramm an den Stellen (1), (2) und (3).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(1) ASCII-Wert von x − 64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(2) g1 ← 26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(3) gib (Zeichen zum ASCII-Wert g1 + 64) verbunden mit (Zeichen zum ASCII-Wert g2 + 64) zurück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− 65 (P1); Rückgabe einer Zahl statt einer Zeichenkette; Java-Syntax (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charAt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,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%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) im Struktogramm (Notation EH §5);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return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ohne „gib … zurück“.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1i)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Erläutern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Sie eine Veränderung von DOMINO, durch die eine Häufigkeitsanalyse von Buchstabenpaaren erschwert wird.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Eine Veränderung beschreiben, z. B. DOMINO-PLUS mit langem, zufälligem Schlüsselwort; Verkettung (s für Paar j ist der Wert von g2 des vorherigen Paares, wie CBC); zusätzliche schlüsselabhängige Transposition vor DOMINO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Wirkung auf die Paarstatistik begründen: gleiche Paare werden verschieden verschlüsselt bzw. die Paarstatistik zerfällt in viele kurze Teiltexte bzw. die Klartextpaare werden auseinandergerissen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„doppelt mit zwei Schlüsseln verschlüsseln“ ohne Prüfung – zweimal DOMINO ist wieder eine monoalphabetische Paarsubstitution, die Paarstatistik bleibt (P8).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60" w:after="80"/>
      </w:pPr>
      <w:r>
        <w:rPr>
          <w:rFonts w:ascii="Georgia" w:hAnsi="Georgia" w:cs="Georgia" w:eastAsia="Georgia"/>
          <w:b/>
          <w:color w:val="8A5F1A"/>
          <w:sz w:val="28"/>
        </w:rPr>
        <w:t>Aufgabe 2</w:t>
      </w:r>
      <w:r>
        <w:rPr>
          <w:rFonts w:ascii="Georgia" w:hAnsi="Georgia" w:cs="Georgia" w:eastAsia="Georgia"/>
          <w:b/>
          <w:color w:val="1B1B1F"/>
          <w:sz w:val="28"/>
        </w:rPr>
        <w:t xml:space="preserve"> · Das Wetternetz</w:t>
      </w:r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2a)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Nennen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Sie die drei Schutzziele Vertraulichkeit, Integrität und Authentizität und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geben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Sie zu jedem Schutzziel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an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>, was im Wetternetz damit gesichert werden soll.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Vertraulichkeit: nur die Zentrale kann die (z. B. archivierten) Messdaten lesen; Integrität: Messwerte werden unterwegs nicht verändert (sonst falsche Unwetterwarnung); Authentizität: das Telegramm stammt wirklich von der angegebenen Station (alle drei korrekt zugeordnet: 2 BE, zwei: 1 BE)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2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Integrität und Authentizität vertauscht.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2b) 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>Zunächst soll jede der sieben Beteiligten (sechs Stationen und die Zentrale) mit jeder anderen verschlüsselt kommunizieren können.</w:t>
      </w:r>
      <w:r>
        <w:br/>
      </w:r>
      <w:r>
        <w:rPr>
          <w:rFonts w:ascii="Calibri" w:hAnsi="Calibri" w:cs="Calibri" w:eastAsia="Calibri"/>
          <w:b/>
          <w:i w:val="0"/>
          <w:color w:val="4A4A55"/>
          <w:sz w:val="19"/>
        </w:rPr>
        <w:t>Berechnen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Sie die Anzahl der benötigten Schlüssel für ein symmetrisches und für ein asymmetrisches Verfahren.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Begründen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Sie allgemein, ab welcher Anzahl von Beteiligten ein asymmetrisches Verfahren weniger Schlüssel benötigt als ein symmetrisches.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symmetrisch: n(n − 1)/2 = 7 · 6/2 =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21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Schlüssel; asymmetrisch: 2n =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14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Schlüssel (7 Schlüsselpaare)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2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Vergleich: n(n − 1)/2 &gt; 2n ⇔ n − 1 &gt; 4 ⇔ n &gt; 5; bei n = 5 sind beide 10, ab n = 6 benötigt das asymmetrische Verfahren weniger (15 &gt; 12)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Begründung des Wachstums: symmetrisch braucht jedes Paar einen eigenen geheimen Schlüssel (quadratisches Wachstum), asymmetrisch bringt jede Person genau ein Paar mit (lineares Wachstum)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n(n − 1) statt n(n − 1)/2; „asymmetrisch n Schlüssel“ (Schlüsselpaar als ein Schlüssel) (P7).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2c) 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>Einmal täglich sendet jede Station zusätzlich ein großes Archiv aller Rohdaten vertraulich an die Zentrale.</w:t>
      </w:r>
      <w:r>
        <w:br/>
      </w:r>
      <w:r>
        <w:rPr>
          <w:rFonts w:ascii="Calibri" w:hAnsi="Calibri" w:cs="Calibri" w:eastAsia="Calibri"/>
          <w:b/>
          <w:i w:val="0"/>
          <w:color w:val="4A4A55"/>
          <w:sz w:val="19"/>
        </w:rPr>
        <w:t>Beschreiben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Sie, wie dies mit einem Hybridverfahren geschieht, und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begründen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Sie, warum man das Archiv nicht rein asymmetrisch verschlüsselt.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Station erzeugt einen zufälligen symmetrischen Sitzungsschlüssel, verschlüsselt das Archiv symmetrisch damit und den Sitzungsschlüssel mit dem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öffentlichen Schlüssel der Zentrale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; beides wird gesendet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Die Zentrale entschlüsselt den Sitzungsschlüssel mit ihrem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privaten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Schlüssel und damit das Archiv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Begründung: asymmetrische Verfahren sind um Größenordnungen langsamer und für große Datenmengen ungeeignet; das Hybridverfahren verbindet die Geschwindigkeit symmetrischer Verfahren mit dem Schlüsselaustausch ohne geheimen Kanal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Sitzungsschlüssel mit dem eigenen privaten Schlüssel verschlüsselt (P9).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2d)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Bestimmen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Sie den WETTER-Prüfwert des Telegramms 1905.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h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  <w:vertAlign w:val="subscript"/>
              </w:rPr>
              <w:t>1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= (10 + 1) mod 17 = 11; h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  <w:vertAlign w:val="subscript"/>
              </w:rPr>
              <w:t>2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= (55 + 9) mod 17 = 64 mod 17 = 13; h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  <w:vertAlign w:val="subscript"/>
              </w:rPr>
              <w:t>3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= (65 + 0) mod 17 = 14 (drei Zwischenwerte korrekt)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2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h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  <w:vertAlign w:val="subscript"/>
              </w:rPr>
              <w:t>4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= (70 + 5) mod 17 = 75 mod 17 = 7; Prüfwert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7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mit h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  <w:vertAlign w:val="subscript"/>
              </w:rPr>
              <w:t>0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= 0 begonnen (P4); d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  <w:vertAlign w:val="subscript"/>
              </w:rPr>
              <w:t>i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multipliziert statt addiert (P4); 64 mod 17 oder 75 mod 17 falsch (P2).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2e)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Zeigen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Sie, dass die Telegramme 2317 und 2322 denselben WETTER-Prüfwert besitzen, und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begründen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Sie, dass es bei jeder Hashfunktion mit fester Ausgabelänge solche Kollisionen geben muss.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2322: h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  <w:vertAlign w:val="subscript"/>
              </w:rPr>
              <w:t>1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= 12, h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  <w:vertAlign w:val="subscript"/>
              </w:rPr>
              <w:t>2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= 12, h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  <w:vertAlign w:val="subscript"/>
              </w:rPr>
              <w:t>3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= (60 + 2) mod 17 = 11, h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  <w:vertAlign w:val="subscript"/>
              </w:rPr>
              <w:t>4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= (55 + 2) mod 17 = 57 mod 17 = 6 = Prüfwert von 2317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Allgemein: Es gibt 10 000 mögliche Telegramme, aber nur 17 Prüfwerte – nach dem Schubfachprinzip haben mindestens ⌈10 000 / 17⌉ = 589 Telegramme denselben Prüfwert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Jede Hashfunktion bildet beliebig viele (bzw. sehr viele) Nachrichten auf eine feste Anzahl von Hashwerten ab; Kollisionen sind daher unvermeidbar, man kann sie nur schwer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findbar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machen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„Kollisionen entstehen nur bei schlechten Hashfunktionen“ (P9); Rechnung ohne allgemeine Begründung (P10).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2f)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Ergänzen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Sie in Abbildung 2 die Lücken (A) bis (D).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(A) privater Schlüssel der Station S; (B) öffentlicher Schlüssel der Station S (je 1 BE)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2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(C) WETTER-Prüfwert des empfangenen Telegramms; (D) Vergleich h' = h'' (beide zusammen)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(A) öffentlicher Schlüssel der Zentrale (P9).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2g)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Erläutern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Sie, wie ein Angreifer Mallory die Kollision aus Teilaufgabe e) ausnutzen kann, obwohl die Telegramme signiert werden, und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nennen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Sie die Eigenschaft, die eine für Signaturen geeignete Hashfunktion besitzen muss.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Die Signatur ist nur an den Prüfwert gebunden; Mallory ersetzt das Telegramm 2317 durch 2322 und lässt die Signatur unverändert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Die Zentrale berechnet für 2322 den Prüfwert 6 und erhält aus der Signatur ebenfalls 6 – die Prüfung gelingt, die Fälschung (Niederschlag 2 statt 7 mm, Windstärke 2 statt 1) bleibt unbemerkt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Eigenschaft: Kollisionsresistenz – es muss praktisch unmöglich sein, zu einer Nachricht eine zweite mit demselben Hashwert zu finden (dafür u. a. großer Wertebereich, z. B. 256 Bit)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„Mallory fälscht die Signatur“ (P9); Eigenschaft „Einweg“ allein (nur mit Bezug auf das Finden einer zweiten Nachricht anerkannt).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2h) 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>Mallory gelingt es, sich zwischen eine neue Station und die Zentrale zu schalten, bevor diese ihre öffentlichen Schlüssel ausgetauscht haben.</w:t>
      </w:r>
      <w:r>
        <w:br/>
      </w:r>
      <w:r>
        <w:rPr>
          <w:rFonts w:ascii="Calibri" w:hAnsi="Calibri" w:cs="Calibri" w:eastAsia="Calibri"/>
          <w:b/>
          <w:i w:val="0"/>
          <w:color w:val="4A4A55"/>
          <w:sz w:val="19"/>
        </w:rPr>
        <w:t>Erläutern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Sie, wie Mallory dadurch gefälschte Telegramme unbemerkt einschleusen kann und wie Zertifikate dies verhindern.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MitM: Mallory fängt den öffentlichen Schlüssel der Station ab und schickt der Zentrale seinen eigenen; die Zentrale hält Mallorys Schlüssel für den der Station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Mallory signiert gefälschte Telegramme mit seinem privaten Schlüssel; die Zentrale prüft mit dem falschen öffentlichen Schlüssel und akzeptiert sie (Authentizität und Integrität ausgehebelt)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Zertifikat: Eine vertrauenswürdige Zertifizierungsstelle (CA, „Trent“) bestätigt mit ihrer Signatur die Zuordnung öffentlicher Schlüssel ↔ Station; die Zentrale prüft die CA-Signatur mit dem ihr bekannten öffentlichen Schlüssel der CA; Mallorys Schlüssel besitzt kein gültiges Zertifikat für diese Station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„das Zertifikat zeigt, dass die Station vertrauenswürdig ist“ (P9); Zertifikat als Verschlüsselung (P9).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2i)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Wenden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Sie STURM-8 auf den Klartextblock </w:t>
      </w:r>
      <w:r>
        <w:rPr>
          <w:rFonts w:ascii="Consolas" w:hAnsi="Consolas" w:cs="Consolas" w:eastAsia="Consolas"/>
          <w:b w:val="0"/>
          <w:i w:val="0"/>
          <w:color w:val="4A4A55"/>
          <w:sz w:val="19"/>
        </w:rPr>
        <w:t>0100 1011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mit dem Schlüssel K = </w:t>
      </w:r>
      <w:r>
        <w:rPr>
          <w:rFonts w:ascii="Consolas" w:hAnsi="Consolas" w:cs="Consolas" w:eastAsia="Consolas"/>
          <w:b w:val="0"/>
          <w:i w:val="0"/>
          <w:color w:val="4A4A55"/>
          <w:sz w:val="19"/>
        </w:rPr>
        <w:t>1001 0110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an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>. Verwenden Sie die Vorlage in Abbildung 3.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Runde 1: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0100 1011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⊕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1001 0110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=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1101 1101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→ verschoben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1110 1110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K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  <w:vertAlign w:val="subscript"/>
              </w:rPr>
              <w:t>2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=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0010 1101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Runde 2: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1110 1110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⊕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0010 1101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=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1100 0011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→ verschoben </w:t>
            </w:r>
            <w:r>
              <w:rPr>
                <w:rFonts w:ascii="Consolas" w:hAnsi="Consolas" w:cs="Consolas" w:eastAsia="Consolas"/>
                <w:b/>
                <w:i w:val="0"/>
                <w:color w:val="1B1B1F"/>
                <w:sz w:val="19"/>
              </w:rPr>
              <w:t>0001 1110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nach rechts verschoben (P3/P4); K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  <w:vertAlign w:val="subscript"/>
              </w:rPr>
              <w:t>2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= K verwendet (P4); Verschiebung vor XOR (P4).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2j)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Begründen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Sie, dass STURM-8 die Eigenschaft der Diffusion nicht besitzt und dass sich daran auch durch weitere Runden desselben Aufbaus nichts ändert.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XOR wirkt bitweise (jedes Ergebnisbit hängt nur vom Bit an derselben Stelle ab), die Verschiebung ändert nur Positionen; daher hängt jedes Geheimtextbit von genau einem Klartextbit ab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Beleg: Kippt man im Block aus i) das erste Bit (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1100 1011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), ändert sich im Geheimtext nur das dritte Bit (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0011 1110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statt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0001 1110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) – Diffusion würde verlangen, dass sich viele (etwa die Hälfte) der Bits ändern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Weitere Runden aus XOR und Verschiebung bleiben bitweise: Zwei Runden lassen sich sogar zu einer zusammenfassen, C = (P um 6 Stellen verschoben) ⊕ K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  <w:vertAlign w:val="subscript"/>
              </w:rPr>
              <w:t>eff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; mehr Runden ändern daran nichts. Nötig ist ein Baustein, der mehrere Bits mischt (z. B. S-Box, Addition mit Übertrag)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Diffusion mit Konfusion verwechselt; „mehr Runden = mehr Sicherheit“ (P8).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60"/>
      </w:pPr>
      <w:r>
        <w:rPr>
          <w:rFonts w:ascii="Georgia" w:hAnsi="Georgia" w:cs="Georgia" w:eastAsia="Georgia"/>
          <w:b/>
          <w:i w:val="0"/>
          <w:color w:val="8A5F1A"/>
          <w:sz w:val="24"/>
        </w:rPr>
        <w:t>Verteilung auf die Anforderungsbereiche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rPr>
          <w:cantSplit/>
          <w:tblHeader/>
        </w:trPr>
        <w:tc>
          <w:tcPr>
            <w:tcW w:type="dxa" w:w="190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90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AFB I</w:t>
            </w:r>
          </w:p>
        </w:tc>
        <w:tc>
          <w:tcPr>
            <w:tcW w:type="dxa" w:w="190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AFB II</w:t>
            </w:r>
          </w:p>
        </w:tc>
        <w:tc>
          <w:tcPr>
            <w:tcW w:type="dxa" w:w="190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AFB III</w:t>
            </w:r>
          </w:p>
        </w:tc>
        <w:tc>
          <w:tcPr>
            <w:tcW w:type="dxa" w:w="190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gesamt</w:t>
            </w:r>
          </w:p>
        </w:tc>
      </w:tr>
      <w:tr>
        <w:trPr>
          <w:cantSplit/>
        </w:trPr>
        <w:tc>
          <w:tcPr>
            <w:tcW w:type="dxa" w:w="1905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BE</w:t>
            </w:r>
          </w:p>
        </w:tc>
        <w:tc>
          <w:tcPr>
            <w:tcW w:type="dxa" w:w="19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17</w:t>
            </w:r>
          </w:p>
        </w:tc>
        <w:tc>
          <w:tcPr>
            <w:tcW w:type="dxa" w:w="19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31</w:t>
            </w:r>
          </w:p>
        </w:tc>
        <w:tc>
          <w:tcPr>
            <w:tcW w:type="dxa" w:w="19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12</w:t>
            </w:r>
          </w:p>
        </w:tc>
        <w:tc>
          <w:tcPr>
            <w:tcW w:type="dxa" w:w="19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60</w:t>
            </w:r>
          </w:p>
        </w:tc>
      </w:tr>
      <w:tr>
        <w:trPr>
          <w:cantSplit/>
        </w:trPr>
        <w:tc>
          <w:tcPr>
            <w:tcW w:type="dxa" w:w="1905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Anteil</w:t>
            </w:r>
          </w:p>
        </w:tc>
        <w:tc>
          <w:tcPr>
            <w:tcW w:type="dxa" w:w="19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28 %</w:t>
            </w:r>
          </w:p>
        </w:tc>
        <w:tc>
          <w:tcPr>
            <w:tcW w:type="dxa" w:w="19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52 %</w:t>
            </w:r>
          </w:p>
        </w:tc>
        <w:tc>
          <w:tcPr>
            <w:tcW w:type="dxa" w:w="19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20 %</w:t>
            </w:r>
          </w:p>
        </w:tc>
        <w:tc>
          <w:tcPr>
            <w:tcW w:type="dxa" w:w="19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100 %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60"/>
      </w:pPr>
      <w:r>
        <w:rPr>
          <w:rFonts w:ascii="Georgia" w:hAnsi="Georgia" w:cs="Georgia" w:eastAsia="Georgia"/>
          <w:b/>
          <w:i w:val="0"/>
          <w:color w:val="8A5F1A"/>
          <w:sz w:val="24"/>
        </w:rPr>
        <w:t>Notenschlüssel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963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</w:tblGrid>
      <w:tr>
        <w:trPr>
          <w:cantSplit/>
          <w:tblHeader/>
        </w:trPr>
        <w:tc>
          <w:tcPr>
            <w:tcW w:type="dxa" w:w="96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Punkte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15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14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13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12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11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10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9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8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7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6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5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4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3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2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1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96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ab BE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57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54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51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48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45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42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39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36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33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30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27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24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20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17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12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0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sectPr w:rsidR="00FC693F" w:rsidRPr="0006063C" w:rsidSect="00034616">
      <w:footerReference w:type="default" r:id="rId10"/>
      <w:headerReference w:type="default" r:id="rId11"/>
      <w:pgSz w:w="11906" w:h="16838"/>
      <w:pgMar w:top="907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62" w:val="center"/>
        <w:tab w:pos="9524" w:val="right"/>
      </w:tabs>
    </w:pPr>
    <w:r/>
    <w:r>
      <w:rPr>
        <w:rFonts w:ascii="Calibri" w:hAnsi="Calibri" w:cs="Calibri" w:eastAsia="Calibri"/>
        <w:color w:val="4A4A55"/>
        <w:sz w:val="16"/>
      </w:rPr>
      <w:t>Kryptos · KLAUSUR eA · DOMINO · Das Wetternetz · EH</w:t>
    </w:r>
    <w:r>
      <w:rPr>
        <w:rFonts w:ascii="Calibri" w:hAnsi="Calibri" w:cs="Calibri" w:eastAsia="Calibri"/>
        <w:color w:val="4A4A55"/>
        <w:sz w:val="16"/>
      </w:rPr>
      <w:tab/>
      <w:t xml:space="preserve">Seite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PAGE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 xml:space="preserve"> von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NUMPAGES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ab/>
      <w:t>© Frank Juchim · Kryptos · für den Unterricht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cs="Calibri" w:eastAsia="Calibri"/>
      <w:color w:val="1B1B1F"/>
      <w:sz w:val="22"/>
      <w:lang w:val="de-DE" w:eastAsia="de-DE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Juchim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