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6_fc53bfa518f9cbd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INFORMATIK · KRYPTOLOGIE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NACHSCHREIBKLAUSUR eA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Mäander-Wechselrad – Erwartungshorizont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7A2E2E"/>
              </w:rPr>
              <w:t xml:space="preserve"> eA </w:t>
            </w: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144"/>
      </w:tblGrid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Bearbeitungszeit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135 Minuten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Hilfsmittel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ausschließlich die Anlage der Ergänzenden Hinweise zum KC Informatik (Juni 2025) in ausgedruckter Form: Alphabet mit Nummerierung (A = 1 … Z = 26), Vigenère-Quadrat, ASCII-Tabelle (Auszug 32–126) – im Kurs als Werkzeugkarte WK1 ausgegeben, liegt dieser Prüfung als Anlage bei. Kein Taschenrechner, keine Formelsammlung, keine eigenen Notizen.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Bewertungseinheiten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60 BE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Prüfung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Nachschreibklausur · Informatik · erhöhtes Anforderungsniveau (eA)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Thema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Kryptologie – Kryptos · Die Zeitreise der Geheimschriften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Name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0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Kurs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Datum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Bewertungsgrundsätze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 xml:space="preserve">Bewertet wird nach Kernpunkten; gleichwertige, fachlich richtige Alternativen werden voll anerkannt.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Folgefehler: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 xml:space="preserve"> Wer mit einem falschen Zwischenergebnis korrekt weiterrechnet, erhält für die Folgeschritte volle Punkte (außer das Ergebnis wird dadurch trivial). „Beurteilen“ ohne ausdrückliches Urteil sowie „begründen/erläutern“ ohne kausale Verknüpfung bzw. ohne Beispiel: höchstens die Hälfte der BE. „Entscheiden (begründet)“: Entscheidung ohne Begründung bzw. Begründung mit falscher Entscheidung: 0 BE. Fachbegriffe werden erwartet.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60" w:after="80"/>
      </w:pPr>
      <w:r>
        <w:rPr>
          <w:rFonts w:ascii="Georgia" w:hAnsi="Georgia" w:cs="Georgia" w:eastAsia="Georgia"/>
          <w:b/>
          <w:color w:val="8A5F1A"/>
          <w:sz w:val="28"/>
        </w:rPr>
        <w:t>Aufgabe 1</w:t>
      </w:r>
      <w:r>
        <w:rPr>
          <w:rFonts w:ascii="Georgia" w:hAnsi="Georgia" w:cs="Georgia" w:eastAsia="Georgia"/>
          <w:b/>
          <w:color w:val="1B1B1F"/>
          <w:sz w:val="28"/>
        </w:rPr>
        <w:t xml:space="preserve"> · MÄANDER-WECHSELRAD</w:t>
      </w:r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1a)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Bestimmen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den Geheimtext zum Klartext „tresorcode“ mit dem Schlüssel s = 3, k = 7.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Raster mit 3 Spalten: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TRE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/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ROS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(←) /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COD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/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XXE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(←, mit XX aufgefüllt)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Zwischentext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TRCX ROOX ESDE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=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TRCXROOXESDE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Stufe 2 mit k = 7: T → A, R → I, C → J, X → C, R → Y, O → L, O → V, X → C, E → L, S → H, D → K, E → V; Geheimtext </w:t>
            </w:r>
            <w:r>
              <w:rPr>
                <w:rFonts w:ascii="Consolas" w:hAnsi="Consolas" w:cs="Consolas" w:eastAsia="Consolas"/>
                <w:b/>
                <w:i w:val="0"/>
                <w:color w:val="1B1B1F"/>
                <w:sz w:val="19"/>
              </w:rPr>
              <w:t>AIJCY LVCLH KV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2. Zeile von links nach rechts eingetragen (P4); X am falschen Ende der Rückwärtszeile (P4); Spiegeln mit 26 − Wert (P1); Positionen ab 0 gezählt (P1).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1b) 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Ein Hinweis lautet </w:t>
      </w:r>
      <w:r>
        <w:rPr>
          <w:rFonts w:ascii="Consolas" w:hAnsi="Consolas" w:cs="Consolas" w:eastAsia="Consolas"/>
          <w:b w:val="0"/>
          <w:i w:val="0"/>
          <w:color w:val="4A4A55"/>
          <w:sz w:val="19"/>
        </w:rPr>
        <w:t>VOVZO VLPBL BC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; der Schlüssel ist s = 4, k = 10.</w:t>
      </w:r>
      <w:r>
        <w:br/>
      </w:r>
      <w:r>
        <w:rPr>
          <w:rFonts w:ascii="Calibri" w:hAnsi="Calibri" w:cs="Calibri" w:eastAsia="Calibri"/>
          <w:b/>
          <w:i w:val="0"/>
          <w:color w:val="4A4A55"/>
          <w:sz w:val="19"/>
        </w:rPr>
        <w:t>Bestimmen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den Klartext. Verwenden Sie die Vorlage in Abbildung 2.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Umkehrung: zuerst Stufe 2 rückgängig (ungerade Positionen −k, gerade Positionen erneut spiegeln), dann Stufe 1; Zeilenzahl 12 : 4 = 3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Zwischentext: V − 10 = L, O → L, V − 10 = L, Z → A, O − 10 = E, V → E, L − 10 = B, P → K, B − 10 = −8 → 18 R, L → O, B − 10 → R, C → X: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LLLAEEBKRORX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Spalten (je 3 Zeichen)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LLL | AEE | BKR | ORX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→ Zeilen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LABO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/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LEKR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(← gelesen: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RKEL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) /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LERX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→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LABORKELLERX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; Klartext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laborkeller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(X ist Füllzeichen)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gerade Positionen „zurück-gespiegelt“ mit anderer Formel (P3 – Spiegeln ist selbstinvers); 2. Zeile nicht rückwärts gelesen (P4); −8 nicht in 18 umgerechnet (P2); X als Klartext stehen gelassen (P4).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1c)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Erläutern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für jede der beiden Stufen, welches Prinzip der Verschlüsselung (Transposition, monoalphabetische oder polyalphabetische Substitution) sie verwendet.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Stufe 1: Transposition – nur die Anordnung der Zeichen ändert sich, die Zeichen selbst bleiben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Stufe 2: Substitution mit zwei Alphabeten, die sich nach der Position abwechseln (Verschiebung um k bzw. Spiegelung)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→ polyalphabetische Substitution (Periode 2): Derselbe Buchstabe wird an ungerader und gerader Position verschieden ersetzt (z. B. „ee“ mit k = 3 →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HV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), und verschiedene Buchstaben können dasselbe Geheimtextzeichen ergeben (Abbildung 1: E an Position 2 → V und S an Position 7 → V; D an Position 6 → W und T an Position 13 → W) – bei einer monoalphabetischen Substitution unmöglich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„Stufe 2 monoalphabetisch, weil jede Regel für sich monoalphabetisch ist“ (P5).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1d)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Begründen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Sie, dass ein Angreifer, der das Verfahren kennt, die Hälfte der Zeichen des Zwischentextes ohne Kenntnis des Schlüssels bestimmen kann.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An den geraden Positionen wird nur gespiegelt – diese Regel enthält keinen Schlüssel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Nach dem Kerckhoffs-Prinzip ist das Verfahren dem Angreifer bekannt; er spiegelt alle Zeichen an geraden Positionen erneut und erhält dort den Zwischentext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Damit ist die Hälfte der Zeichen des Zwischentextes ohne Schlüssel bekannt; nur die ungeraden Positionen sind mit k geschützt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Begründung ohne Bezug auf die Schlüsselunabhängigkeit der Spiegelung (P10).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1e)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Bestimmen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die Anzahl der möglichen Schlüssel und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untersuchen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Sie, ob es Schlüssel gibt, bei denen eine der beiden Stufen wirkungslos oder schlüsselunabhängig ist.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Anzahl: 7 Spaltenzahlen · 26 Verschiebungen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182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Schlüssel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k = 0: Stufe 2 verschiebt nicht, es wird nur gespiegelt → Stufe 2 schlüsselunabhängig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 größer oder gleich der Textlänge: nur eine Zeile, keine Umordnung (nur X angehängt) → Stufe 1 wirkungslos; bei kurzen Hinweisen (≤ 8 Zeichen) möglich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Schluss: Der Schlüsselraum ist sehr klein, und es gibt schwache Schlüssel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Alternativen: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k = 13 als „besonderer“ Schlüssel mit Begründung (involutorisch) wird als zusätzliche Beobachtung anerkannt, ersetzt aber keinen der beiden Fälle.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s ∈ {1, …, 8} gezählt (P7); 26 · 26 (P7).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1f) 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Beim Abschreiben eines Geheimtextes wird ein Zeichen vergessen.</w:t>
      </w:r>
      <w:r>
        <w:br/>
      </w:r>
      <w:r>
        <w:rPr>
          <w:rFonts w:ascii="Calibri" w:hAnsi="Calibri" w:cs="Calibri" w:eastAsia="Calibri"/>
          <w:b/>
          <w:i w:val="0"/>
          <w:color w:val="4A4A55"/>
          <w:sz w:val="19"/>
        </w:rPr>
        <w:t>Analysieren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die Auswirkungen auf das Entschlüsseln.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Ab der Fehlstelle verschieben sich alle Positionen um eins: Zeichen, die verschoben waren, werden nun gespiegelt und umgekehrt → alle folgenden Zwischentextzeichen falsch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Die Länge ist kein Vielfaches von s mehr; das Raster lässt sich nicht korrekt füllen, die Spalten verrutschen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Folge: Klartext ab der Fehlstelle praktisch unbrauchbar; der Fehler ist aber bemerkbar (Länge), die Zeichen vor der Fehlstelle bleiben in Stufe 2 korrekt. Beispiel: „geheimtuer“ (s = 3, k = 7) ergibt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NNACL RBCOV LI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; fehlt das 4. Zeichen, liefert Stufe 2 rückwärts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GMTOKYVLOOB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statt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GMTXEIUXHEER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„nur ein Zeichen falsch“ (gilt für ein falsch notiertes, nicht für ein fehlendes Zeichen) (P10).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1g)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Entscheiden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für die folgenden Aussagen jeweils begründet, ob sie korrekt oder falsch sind.</w:t>
      </w:r>
      <w:r>
        <w:br/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(1) Wendet man Stufe 2 zweimal mit k = 13 an, erhält man wieder den Zwischentext.</w:t>
      </w:r>
      <w:r>
        <w:br/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(2) Vertauscht man die Reihenfolge der beiden Stufen, ergibt sich derselbe Geheimtext. (Das Auffüllen mit X erfolgt in beiden Fällen vor der ersten Stufe.)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(1)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korrekt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: ungerade Positionen +13 +13 = +26 ≡ 0 (unverändert); gerade Positionen zweimal gespiegelt: 27 − (27 − w) = w (unverändert)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(2)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falsch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: Stufe 2 hängt von der Position ab, Stufe 1 ändert die Positionen; ein Zeichen kann vor der Transposition an einer geraden, danach an einer ungeraden Position stehen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(2) Beispiel Abbildung 1: I steht im Klartext an Position 2 (würde bei vertauschten Stufen gespiegelt: R), im Zwischentext an Position 5 (wird verschoben: L) → verschiedene Geheimtexte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(1) „falsch, weil die Spiegelung nicht 13 verschiebt“ (P8); (2) Entscheidung ohne Beispiel oder Argument (P10).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1h)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Entwickeln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eine Vorgehensweise, mit der ein Angreifer einen langen Geheimtext mithilfe einer Häufigkeitsanalyse ohne Kenntnis des Schlüssels entschlüsseln kann.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Gerade Positionen spiegeln (ohne Schlüssel)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Teiltext der ungeraden Positionen ist ein Caesar-Geheimtext: häufigsten Buchstaben ermitteln, mit E gleichsetzen → k (bzw. 26 Verschiebungen ausprobieren); da die Transposition die Häufigkeiten nicht ändert, ist der Teiltext ein repräsentativer Ausschnitt des deutschen Klartextes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Stufe 1: Spaltenzahlen 2 bis 8 ausprobieren und den sinnvollen Text wählen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Häufigkeitsanalyse über den gesamten Geheimtext (P6); Stufe 1 vor Stufe 2 rückgängig (P3).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1i)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Erläutern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eine Veränderung von Stufe 2, durch die das Verfahren deutlich sicherer wird.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Veränderung beschreiben, z. B. Spiegelung durch eine zweite, schlüsselabhängige Verschiebung k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ersetzen oder Stufe 2 durch Vigenère mit langem Schlüsselwort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Wirkung: alle Zeichen schlüsselabhängig; Teiltexte mehr/länger; Schlüsselraum wächst (z. B. 26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perscript"/>
              </w:rPr>
              <w:t>l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bei Schlüsselwortlänge l)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Bewertung der Grenze: Häufigkeitsanalyse auf Teiltexten bleibt bei kurzer Periode möglich – je länger und zufälliger das Schlüsselwort, desto besser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„Stufe 2 zweimal anwenden“ (P8 – mit k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+ k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= 26 sogar wirkungslos, vgl. g)).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60" w:after="80"/>
      </w:pPr>
      <w:r>
        <w:rPr>
          <w:rFonts w:ascii="Georgia" w:hAnsi="Georgia" w:cs="Georgia" w:eastAsia="Georgia"/>
          <w:b/>
          <w:color w:val="8A5F1A"/>
          <w:sz w:val="28"/>
        </w:rPr>
        <w:t>Aufgabe 2</w:t>
      </w:r>
      <w:r>
        <w:rPr>
          <w:rFonts w:ascii="Georgia" w:hAnsi="Georgia" w:cs="Georgia" w:eastAsia="Georgia"/>
          <w:b/>
          <w:color w:val="1B1B1F"/>
          <w:sz w:val="28"/>
        </w:rPr>
        <w:t xml:space="preserve"> · Das Fahrradparkhaus</w:t>
      </w:r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2a) 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Die App soll den Öffnungsbefehl vertraulich an den Server senden.</w:t>
      </w:r>
      <w:r>
        <w:br/>
      </w:r>
      <w:r>
        <w:rPr>
          <w:rFonts w:ascii="Calibri" w:hAnsi="Calibri" w:cs="Calibri" w:eastAsia="Calibri"/>
          <w:b/>
          <w:i w:val="0"/>
          <w:color w:val="4A4A55"/>
          <w:sz w:val="19"/>
        </w:rPr>
        <w:t>Beschreiben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das Prinzip der asymmetrischen Verschlüsselung an diesem Beispiel.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Der Server besitzt ein Schlüsselpaar: einen öffentlichen Schlüssel (für alle bekannt) und einen privaten Schlüssel (nur dem Server bekannt)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Die App verschlüsselt den Öffnungsbefehl mit dem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öffentlichen Schlüssel des Servers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; entschlüsseln kann ihn nur der Server mit seinem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privaten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Schlüssel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Aus dem öffentlichen Schlüssel lässt sich der private praktisch nicht berechnen (Einwegfunktion mit Falltür); daher ist kein geheimer Schlüsselaustausch nötig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Verschlüsselung mit dem privaten Schlüssel der App (P9).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2b) 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Die Betreiberfirma hat zwölf Beschäftigte, die untereinander paarweise vertraulich kommunizieren. Eine Beschäftigte behauptet: „Mit einem symmetrischen Verfahren bräuchten wir 66 Schlüssel, mit einem asymmetrischen nur 24.“</w:t>
      </w:r>
      <w:r>
        <w:br/>
      </w:r>
      <w:r>
        <w:rPr>
          <w:rFonts w:ascii="Calibri" w:hAnsi="Calibri" w:cs="Calibri" w:eastAsia="Calibri"/>
          <w:b/>
          <w:i w:val="0"/>
          <w:color w:val="4A4A55"/>
          <w:sz w:val="19"/>
        </w:rPr>
        <w:t>Entscheiden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begründet, ob die Aussage korrekt ist, und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bestimmen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Sie, um wie viele Schlüssel sich die Anzahl in beiden Fällen erhöht, wenn eine dreizehnte Person hinzukommt.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symmetrisch 12 · 11 / 2 = 66, asymmetrisch 2 · 12 = 24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→ Aussage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korrekt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13. Person: symmetrisch 13 · 12 / 2 = 78, also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+12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(ein neuer Schlüssel mit jeder bisherigen Person); asymmetrisch 26, also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+2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(ein neues Schlüsselpaar)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12 · 11 = 132 (P7); asymmetrisch 12 (Paar als ein Schlüssel) (P7); Entscheidung ohne Rechnung (P10).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2c)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Beschreiben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Sie, wie der Server mithilfe einer Hashfunktion Passwörter speichert und bei der Anmeldung prüft, ohne die Passwörter selbst zu speichern, und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erläutern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Sie, welchen Zweck dabei ein „Salz“ erfüllt.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Bei der Registrierung berechnet der Server den Hashwert des Passworts und speichert nur diesen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Bei der Anmeldung berechnet er den Hashwert des eingegebenen Passworts und vergleicht ihn mit dem gespeicherten; bei Gleichheit gilt die Anmeldung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Wegen der Einweg-Eigenschaft kann aus gestohlenen Hashwerten das Passwort nicht zurückgerechnet werden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Salz: eine zufällige, je Person verschiedene Zeichenfolge, die vor dem Hashen an das Passwort gehängt und neben dem Hashwert gespeichert wird; gleiche Passwörter ergeben verschiedene Hashwerte, vorberechnete Tabellen (Wörterbuch-/Regenbogentabellen) werden nutzlos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„Passwort wird verschlüsselt gespeichert“ (P9 – Hash ≠ Verschlüsselung); Salz als geheimer Schlüssel bezeichnet.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2d)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Bestimmen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den RAD-Hash des Passworts „klingel“.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1 · 11 + 2 · 12 + 3 · 9 + 4 · 14 + 5 · 7 + 6 · 5 + 7 · 12 = 11 + 24 + 27 + 56 + 35 + 30 + 84 = 267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267 mod 26 = 267 − 260 = 7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G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Gewichte vergessen (P4); A = 0 (P1); Rest falsch (P2).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2e)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Begründen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mithilfe der Passwörter „sattel“ und „pedal“ (Abbildung 2), dass RAD-Hash für die Speicherung von Passwörtern ungeeignet ist.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sattel: 19 + 2 + 60 + 80 + 25 + 72 = 258 → 258 mod 26 = 24 → X; pedal: 16 + 10 + 12 + 4 + 60 = 102 → 102 mod 26 = 24 → X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Da der Server nur Hashwerte vergleicht, wird auch das Passwort „pedal“ für N-0815 akzeptiert – eine Kollision öffnet fremde Boxen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RAD-Hash hat nur 26 mögliche Werte: Jeder Angreifer findet durch Probieren schnell ein passendes Passwort; außerdem lassen sich Kollisionen gezielt konstruieren (z. B. w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um 2 erhöhen und w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um 1 verringern) → ungeeignet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nur die Rechnung ohne Schlussfolgerung (P10).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2f)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Erläutern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Sie, wie die App mithilfe eines Zertifikats überprüfen kann, dass ein empfangener öffentlicher Schlüssel tatsächlich zum Server des Parkhauses gehört, und warum dadurch ein Man-in-the-Middle-Angriff verhindert wird.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Der Server erhält von einer Zertifizierungsstelle (CA) ein Zertifikat: Es enthält seinen Namen/seine Adresse und seinen öffentlichen Schlüssel und ist mit dem privaten Schlüssel der CA signiert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Die App kennt den öffentlichen Schlüssel der CA (vorinstalliert, ggf. über eine Zertifikatskette bis zu einer Wurzel-CA); sie prüft die Signatur des Zertifikats und, ob Name und Gültigkeit passen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MitM: Ein Angreifer könnte der App sonst seinen eigenen öffentlichen Schlüssel unterschieben, alle Befehle entschlüsseln, verändern und weiterleiten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Für seinen Schlüssel besitzt er kein von der CA signiertes Zertifikat mit dem Namen des Parkhaus-Servers; eine Fälschung würde bei der Prüfung auffallen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„Zertifikat beweist, dass der Server vertrauenswürdig ist“ (P9); CA signiert mit dem öffentlichen Schlüssel (P9).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2g) 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Ein Öffnungsbefehl besteht im vereinfachten Modell aus den drei 4-Bit-Blöcken </w:t>
      </w:r>
      <w:r>
        <w:rPr>
          <w:rFonts w:ascii="Consolas" w:hAnsi="Consolas" w:cs="Consolas" w:eastAsia="Consolas"/>
          <w:b w:val="0"/>
          <w:i w:val="0"/>
          <w:color w:val="4A4A55"/>
          <w:sz w:val="19"/>
        </w:rPr>
        <w:t>1010 1010 0110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.</w:t>
      </w:r>
      <w:r>
        <w:br/>
      </w:r>
      <w:r>
        <w:rPr>
          <w:rFonts w:ascii="Calibri" w:hAnsi="Calibri" w:cs="Calibri" w:eastAsia="Calibri"/>
          <w:b/>
          <w:i w:val="0"/>
          <w:color w:val="4A4A55"/>
          <w:sz w:val="19"/>
        </w:rPr>
        <w:t>Bestimmen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den Geheimtext mit dem Schlüssel K = </w:t>
      </w:r>
      <w:r>
        <w:rPr>
          <w:rFonts w:ascii="Consolas" w:hAnsi="Consolas" w:cs="Consolas" w:eastAsia="Consolas"/>
          <w:b w:val="0"/>
          <w:i w:val="0"/>
          <w:color w:val="4A4A55"/>
          <w:sz w:val="19"/>
        </w:rPr>
        <w:t>0011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im ECB-Modus und im CBC-Modus mit dem Initialisierungsvektor IV = </w:t>
      </w:r>
      <w:r>
        <w:rPr>
          <w:rFonts w:ascii="Consolas" w:hAnsi="Consolas" w:cs="Consolas" w:eastAsia="Consolas"/>
          <w:b w:val="0"/>
          <w:i w:val="0"/>
          <w:color w:val="4A4A55"/>
          <w:sz w:val="19"/>
        </w:rPr>
        <w:t>0101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ECB: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1010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⊕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0011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=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1001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→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0011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; zweiter Block ebenso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0011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;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0110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⊕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0011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=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0101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→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1010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; Geheimtext </w:t>
            </w:r>
            <w:r>
              <w:rPr>
                <w:rFonts w:ascii="Consolas" w:hAnsi="Consolas" w:cs="Consolas" w:eastAsia="Consolas"/>
                <w:b/>
                <w:i w:val="0"/>
                <w:color w:val="1B1B1F"/>
                <w:sz w:val="19"/>
              </w:rPr>
              <w:t>0011 0011 1010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CBC Block 1: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1010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⊕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0101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=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1111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;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1111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⊕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0011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=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1100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→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1001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Block 2: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1010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⊕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1001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=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0011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;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0011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⊕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0011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=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0000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→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0000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Block 3: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0110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⊕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0000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=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0110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;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0110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⊕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0011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=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0101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→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1010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; Geheimtext </w:t>
            </w:r>
            <w:r>
              <w:rPr>
                <w:rFonts w:ascii="Consolas" w:hAnsi="Consolas" w:cs="Consolas" w:eastAsia="Consolas"/>
                <w:b/>
                <w:i w:val="0"/>
                <w:color w:val="1B1B1F"/>
                <w:sz w:val="19"/>
              </w:rPr>
              <w:t>1001 0000 1010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im CBC mit dem vorherigen Klartext- statt Geheimtextblock verknüpft (P4); Verschiebung nach rechts (P3).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2h)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Beurteilen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anhand Ihrer Ergebnisse aus Teilaufgabe g), welcher der beiden Betriebsmodi für die Öffnungsbefehle geeigneter ist.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ECB: Gleiche Klartextblöcke ergeben gleiche Geheimtextblöcke (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1010 1010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→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0011 0011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); ein Mitlesender erkennt Muster und wiederkehrende Befehle, ohne den Schlüssel zu kennen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CBC: Durch die Verkettung ergeben gleiche Blöcke verschiedene Geheimtextblöcke (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1001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≠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0000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); mit einem neuen, zufälligen IV je Befehl sieht derselbe Befehl jedes Mal anders aus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Urteil: CBC ist geeigneter; Nachteil: ein Übertragungsfehler wirkt sich auf zwei Klartextblöcke aus (bei Steuerbefehlen unkritisch, der Befehl wird verworfen)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kein Urteil (P10); „CBC ist sicherer, weil es länger ist“.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2i) 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Der Server speichert zu jeder Öffnung Boxnummer, Nutzerkennung und Uhrzeit.</w:t>
      </w:r>
      <w:r>
        <w:br/>
      </w:r>
      <w:r>
        <w:rPr>
          <w:rFonts w:ascii="Calibri" w:hAnsi="Calibri" w:cs="Calibri" w:eastAsia="Calibri"/>
          <w:b/>
          <w:i w:val="0"/>
          <w:color w:val="4A4A55"/>
          <w:sz w:val="19"/>
        </w:rPr>
        <w:t>Nennen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zwei Grundsätze der Datenschutz-Grundverordnung (DSGVO), die dabei zu beachten sind.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Zwei von: Zweckbindung, Datenminimierung, Speicherbegrenzung, Rechtmäßigkeit/Transparenz, Richtigkeit, Integrität und Vertraulichkeit, Rechenschaftspflicht (je 1 BE), möglichst mit kurzem Bezug (z. B. Öffnungsprotokolle nach Ablauf einer Frist löschen)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8A5F1A"/>
          <w:sz w:val="24"/>
        </w:rPr>
        <w:t>Verteilung auf die Anforderungsbereiche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905"/>
        <w:gridCol w:w="1905"/>
        <w:gridCol w:w="1905"/>
        <w:gridCol w:w="1905"/>
        <w:gridCol w:w="1905"/>
      </w:tblGrid>
      <w:tr>
        <w:trPr>
          <w:cantSplit/>
          <w:tblHeader/>
        </w:trPr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AFB I</w:t>
            </w: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AFB II</w:t>
            </w: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AFB III</w:t>
            </w: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gesamt</w:t>
            </w:r>
          </w:p>
        </w:tc>
      </w:tr>
      <w:tr>
        <w:trPr>
          <w:cantSplit/>
        </w:trPr>
        <w:tc>
          <w:tcPr>
            <w:tcW w:type="dxa" w:w="1905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17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31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12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60</w:t>
            </w:r>
          </w:p>
        </w:tc>
      </w:tr>
      <w:tr>
        <w:trPr>
          <w:cantSplit/>
        </w:trPr>
        <w:tc>
          <w:tcPr>
            <w:tcW w:type="dxa" w:w="1905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Anteil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28 %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52 %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20 %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100 %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8A5F1A"/>
          <w:sz w:val="24"/>
        </w:rPr>
        <w:t>Notenschlüssel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963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</w:tblGrid>
      <w:tr>
        <w:trPr>
          <w:cantSplit/>
          <w:tblHeader/>
        </w:trPr>
        <w:tc>
          <w:tcPr>
            <w:tcW w:type="dxa" w:w="96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Punkte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15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14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13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12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11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10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9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8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7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6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5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4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3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2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96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ab BE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57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54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51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48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45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42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39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36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33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30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27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24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20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17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12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0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NACHSCHREIBKLAUSUR eA · Mäander-Wechselrad · EH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