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6_fc53bfa518f9cbd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INFORMATIK · KRYPTOLOGIE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NACHSCHREIBKLAUSUR gA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Mäander-Wechselrad – Erwartungshorizont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gA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144"/>
      </w:tblGrid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Bearbeitungszeit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110 Minuten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Hilfsmittel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ausschließlich die Anlage der Ergänzenden Hinweise zum KC Informatik (Juni 2025) in ausgedruckter Form: Alphabet mit Nummerierung (A = 1 … Z = 26), Vigenère-Quadrat, ASCII-Tabelle (Auszug 32–126) – im Kurs als Werkzeugkarte WK1 ausgegeben, liegt dieser Prüfung als Anlage bei. Kein Taschenrechner, keine Formelsammlung, keine eigenen Notizen.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Bewertungseinheiten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50 BE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Prüfung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Nachschreibklausur · Informatik · grundlegendes Anforderungsniveau (gA)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Thema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Kryptologie – Kryptos · Die Zeitreise der Geheimschriften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Name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0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Kurs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Datum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Bewertungsgrundsätze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 xml:space="preserve">Bewertet wird nach Kernpunkten; gleichwertige, fachlich richtige Alternativen werden voll anerkannt.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Folgefehler: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 xml:space="preserve"> Wer mit einem falschen Zwischenergebnis korrekt weiterrechnet, erhält für die Folgeschritte volle Punkte (außer das Ergebnis wird dadurch trivial). „Beurteilen“ ohne ausdrückliches Urteil sowie „begründen/erläutern“ ohne kausale Verknüpfung bzw. ohne Beispiel: höchstens die Hälfte der BE. „Entscheiden (begründet)“: Entscheidung ohne Begründung bzw. Begründung mit falscher Entscheidung: 0 BE. Fachbegriffe werden erwartet.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60" w:after="80"/>
      </w:pPr>
      <w:r>
        <w:rPr>
          <w:rFonts w:ascii="Georgia" w:hAnsi="Georgia" w:cs="Georgia" w:eastAsia="Georgia"/>
          <w:b/>
          <w:color w:val="8A5F1A"/>
          <w:sz w:val="28"/>
        </w:rPr>
        <w:t>Aufgabe 1</w:t>
      </w:r>
      <w:r>
        <w:rPr>
          <w:rFonts w:ascii="Georgia" w:hAnsi="Georgia" w:cs="Georgia" w:eastAsia="Georgia"/>
          <w:b/>
          <w:color w:val="1B1B1F"/>
          <w:sz w:val="28"/>
        </w:rPr>
        <w:t xml:space="preserve"> · MÄANDER-WECHSELRAD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1a)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den Geheimtext zum Klartext „tresorcode“ mit dem Schlüssel s = 3, k = 7.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Raster mit 3 Spalten: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TRE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ROS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(←) /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COD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XXE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(←, mit XX aufgefüllt)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Zwischentext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TRCX ROOX ESDE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=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TRCXROOXESDE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Stufe 2 mit k = 7: T → A, R → I, C → J, X → C, R → Y, O → L, O → V, X → C, E → L, S → H, D → K, E → V; Geheimtext </w:t>
            </w:r>
            <w:r>
              <w:rPr>
                <w:rFonts w:ascii="Consolas" w:hAnsi="Consolas" w:cs="Consolas" w:eastAsia="Consolas"/>
                <w:b/>
                <w:i w:val="0"/>
                <w:color w:val="1B1B1F"/>
                <w:sz w:val="19"/>
              </w:rPr>
              <w:t>AIJCY LVCLH KV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2. Zeile von links nach rechts eingetragen (P4); X am falschen Ende der Rückwärtszeile (P4); Spiegeln mit 26 − Wert (P1); Positionen ab 0 gezählt (P1).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1b)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Ein Hinweis lautet </w:t>
      </w:r>
      <w:r>
        <w:rPr>
          <w:rFonts w:ascii="Consolas" w:hAnsi="Consolas" w:cs="Consolas" w:eastAsia="Consolas"/>
          <w:b w:val="0"/>
          <w:i w:val="0"/>
          <w:color w:val="4A4A55"/>
          <w:sz w:val="19"/>
        </w:rPr>
        <w:t>VOVZO VLPBL BC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; der Schlüssel ist s = 4, k = 10.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den Klartext. Verwenden Sie die Vorlage in Abbildung 2.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Umkehrung: zuerst Stufe 2 rückgängig (ungerade Positionen −k, gerade Positionen erneut spiegeln), dann Stufe 1; Zeilenzahl 12 : 4 = 3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Zwischentext: V − 10 = L, O → L, V − 10 = L, Z → A, O − 10 = E, V → E, L − 10 = B, P → K, B − 10 = −8 → 18 R, L → O, B − 10 → R, C → X: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LLLAEEBKRORX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Spalten (je 3 Zeichen)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LLL | AEE | BKR | ORX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→ Zeilen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LABO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/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LEKR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(← gelesen: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RKEL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) /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LERX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LABORKELLERX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; Klartext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laborkeller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(X ist Füllzeichen)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gerade Positionen „zurück-gespiegelt“ mit anderer Formel (P3 – Spiegeln ist selbstinvers); 2. Zeile nicht rückwärts gelesen (P4); −8 nicht in 18 umgerechnet (P2); X als Klartext stehen gelassen (P4).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1c)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Erläutern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für jede der beiden Stufen, welches Prinzip der Verschlüsselung (Transposition, monoalphabetische oder polyalphabetische Substitution) sie verwendet.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Stufe 1: Transposition – nur die Anordnung der Zeichen ändert sich, die Zeichen selbst bleiben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Stufe 2: Substitution mit zwei Alphabeten, die sich nach der Position abwechseln (Verschiebung um k bzw. Spiegelung)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→ polyalphabetische Substitution (Periode 2): Derselbe Buchstabe wird an ungerader und gerader Position verschieden ersetzt (z. B. „ee“ mit k = 3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HV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), und verschiedene Buchstaben können dasselbe Geheimtextzeichen ergeben (Abbildung 1: E an Position 2 → V und S an Position 7 → V; D an Position 6 → W und T an Position 13 → W) – bei einer monoalphabetischen Substitution unmöglich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„Stufe 2 monoalphabetisch, weil jede Regel für sich monoalphabetisch ist“ (P5).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1d)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Begründen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dass ein Angreifer, der das Verfahren kennt, die Hälfte der Zeichen des Zwischentextes ohne Kenntnis des Schlüssels bestimmen kann.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An den geraden Positionen wird nur gespiegelt – diese Regel enthält keinen Schlüssel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Nach dem Kerckhoffs-Prinzip ist das Verfahren dem Angreifer bekannt; er spiegelt alle Zeichen an geraden Positionen erneut und erhält dort den Zwischentext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Damit ist die Hälfte der Zeichen des Zwischentextes ohne Schlüssel bekannt; nur die ungeraden Positionen sind mit k geschützt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Begründung ohne Bezug auf die Schlüsselunabhängigkeit der Spiegelung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1e)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die Anzahl der möglichen Schlüssel (s, k) und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untersuchen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wie sich der Schlüssel k = 0 auf Stufe 2 auswirkt.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7 · 26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182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Schlüssel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k = 0: ungerade Positionen bleiben unverändert, gerade werden gespiegelt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Stufe 2 ist dann ganz ohne Schlüssel umkehrbar, nur noch Stufe 1 schützt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Folgerung: schwacher Schlüssel, zusammen mit 182 Schlüsseln Brute Force leicht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 ∈ {1, …, 8} gezählt (P7); 26 · 26 (P7).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1f)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Beim Abschreiben eines Geheimtextes wird ein einzelnes Zeichen falsch notiert (alle anderen Zeichen sind korrekt).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Analysieren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die Auswirkung auf den entschlüsselten Klartext.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Stufe 2 rückwärts: nur das Zeichen an derselben Position wird falsch (gleiche Regel, da Position unverändert)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Stufe 1 rückwärts versetzt das falsche Zeichen nur an eine andere Stelle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Im Klartext ist genau ein Buchstabe falsch, z. B. „geheimtuer“: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NNACL RBCOV LI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mit S statt R an Position 6 → </w:t>
            </w:r>
            <w:r>
              <w:rPr>
                <w:rFonts w:ascii="Consolas" w:hAnsi="Consolas" w:cs="Consolas" w:eastAsia="Consolas"/>
                <w:i w:val="0"/>
                <w:color w:val="1B1B1F"/>
                <w:sz w:val="19"/>
              </w:rPr>
              <w:t>GEHEHMTUERXX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: nur das i (5. Klartextbuchstabe) wird zu h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1g)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Entscheiden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begründet, ob die folgende Aussage korrekt ist: „Wendet man Stufe 2 zweimal mit k = 13 an, erhält man wieder den Zwischentext.“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korrekt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; ungerade Positionen +13 +13 = +26 ≡ 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zweimal spiegeln = unverändert: 27 − (27 − w) = w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„falsch, weil die Spiegelung nicht 13 verschiebt“ (P8).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1h)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Beschreiben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wie ein Angreifer einen langen Geheimtext ohne Kenntnis des Schlüssels entschlüsseln kann. Berücksichtigen Sie die Zeichen an geraden und an ungeraden Positionen sowie Stufe 1.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Gerade Positionen spiegeln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Ungerade Positionen: Caesar-Teiltext → Häufigkeitsanalyse (häufigster Buchstabe ≙ E) oder 26 Verschiebungen probieren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Stufe 1: Spaltenzahlen 2–8 probieren, sinnvollen Text wählen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Häufigkeitsanalyse über den gesamten Geheimtext (P6).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60" w:after="80"/>
      </w:pPr>
      <w:r>
        <w:rPr>
          <w:rFonts w:ascii="Georgia" w:hAnsi="Georgia" w:cs="Georgia" w:eastAsia="Georgia"/>
          <w:b/>
          <w:color w:val="8A5F1A"/>
          <w:sz w:val="28"/>
        </w:rPr>
        <w:t>Aufgabe 2</w:t>
      </w:r>
      <w:r>
        <w:rPr>
          <w:rFonts w:ascii="Georgia" w:hAnsi="Georgia" w:cs="Georgia" w:eastAsia="Georgia"/>
          <w:b/>
          <w:color w:val="1B1B1F"/>
          <w:sz w:val="28"/>
        </w:rPr>
        <w:t xml:space="preserve"> · Das Fahrradparkhaus</w:t>
      </w:r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2a)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Die App soll den Öffnungsbefehl vertraulich an den Server senden.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Beschreiben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das Prinzip der asymmetrischen Verschlüsselung an diesem Beispiel.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Der Server besitzt ein Schlüsselpaar: einen öffentlichen Schlüssel (für alle bekannt) und einen privaten Schlüssel (nur dem Server bekannt)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Die App verschlüsselt den Öffnungsbefehl mit dem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öffentlichen Schlüssel des Servers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; entschlüsseln kann ihn nur der Server mit seinem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privaten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Schlüssel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Aus dem öffentlichen Schlüssel lässt sich der private praktisch nicht berechnen (Einwegfunktion mit Falltür); daher ist kein geheimer Schlüsselaustausch nötig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Verschlüsselung mit dem privaten Schlüssel der App (P9).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2b)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Die Betreiberfirma hat zwölf Beschäftigte, die untereinander paarweise vertraulich kommunizieren. Eine Beschäftigte behauptet: „Mit einem symmetrischen Verfahren bräuchten wir 66 Schlüssel, mit einem asymmetrischen nur 24.“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Entscheiden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begründet, ob die Aussage korrekt ist, und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um wie viele Schlüssel sich die Anzahl in beiden Fällen erhöht, wenn eine dreizehnte Person hinzukommt.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symmetrisch 12 · 11 / 2 = 66, asymmetrisch 2 · 12 = 24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→ Aussage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korrekt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13. Person: symmetrisch 13 · 12 / 2 = 78, also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+12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(ein neuer Schlüssel mit jeder bisherigen Person); asymmetrisch 26, also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+2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(ein neues Schlüsselpaar)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12 · 11 = 132 (P7); asymmetrisch 12 (Paar als ein Schlüssel) (P7); Entscheidung ohne Rechnung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2c)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Beschreiben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wie der Server mithilfe einer Hashfunktion Passwörter speichert und bei der Anmeldung prüft, ohne die Passwörter selbst zu speichern, und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erläutern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welchen Zweck dabei ein „Salz“ erfüllt.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Bei der Registrierung berechnet der Server den Hashwert des Passworts und speichert nur diesen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Bei der Anmeldung berechnet er den Hashwert des eingegebenen Passworts und vergleicht ihn mit dem gespeicherten; bei Gleichheit gilt die Anmeldung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Wegen der Einweg-Eigenschaft kann aus gestohlenen Hashwerten das Passwort nicht zurückgerechnet werden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Salz: eine zufällige, je Person verschiedene Zeichenfolge, die vor dem Hashen an das Passwort gehängt und neben dem Hashwert gespeichert wird; gleiche Passwörter ergeben verschiedene Hashwerte, vorberechnete Tabellen (Wörterbuch-/Regenbogentabellen) werden nutzlos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„Passwort wird verschlüsselt gespeichert“ (P9 – Hash ≠ Verschlüsselung); Salz als geheimer Schlüssel bezeichnet.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2d)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Bestimmen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den RAD-Hash des Passworts „klingel“.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1 · 11 + 2 · 12 + 3 · 9 + 4 · 14 + 5 · 7 + 6 · 5 + 7 · 12 = 11 + 24 + 27 + 56 + 35 + 30 + 84 = 267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267 mod 26 = 267 − 260 = 7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G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Gewichte vergessen (P4); A = 0 (P1); Rest falsch (P2).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2e)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Begründen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mithilfe der Passwörter „sattel“ und „pedal“ (Abbildung 2), dass RAD-Hash für die Speicherung von Passwörtern ungeeignet ist.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sattel: 19 + 2 + 60 + 80 + 25 + 72 = 258 → 258 mod 26 = 24 → X; pedal: 16 + 10 + 12 + 4 + 60 = 102 → 102 mod 26 = 24 → X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Da der Server nur Hashwerte vergleicht, wird auch das Passwort „pedal“ für N-0815 akzeptiert – eine Kollision öffnet fremde Boxen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RAD-Hash hat nur 26 mögliche Werte: Jeder Angreifer findet durch Probieren schnell ein passendes Passwort; außerdem lassen sich Kollisionen gezielt konstruieren (z. B. w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um 2 erhöhen und w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um 1 verringern) → ungeeignet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nur die Rechnung ohne Schlussfolgerung (P10).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2f) </w:t>
      </w:r>
      <w:r>
        <w:rPr>
          <w:rFonts w:ascii="Calibri" w:hAnsi="Calibri" w:cs="Calibri" w:eastAsia="Calibri"/>
          <w:b/>
          <w:i w:val="0"/>
          <w:color w:val="4A4A55"/>
          <w:sz w:val="19"/>
        </w:rPr>
        <w:t>Erläutern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wie die App mithilfe eines Zertifikats überprüfen kann, dass ein empfangener öffentlicher Schlüssel tatsächlich zum Server des Parkhauses gehört, und warum dadurch ein Man-in-the-Middle-Angriff verhindert wird.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Der Server erhält von einer Zertifizierungsstelle (CA) ein Zertifikat: Es enthält seinen Namen/seine Adresse und seinen öffentlichen Schlüssel und ist mit dem privaten Schlüssel der CA signiert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Die App kennt den öffentlichen Schlüssel der CA (vorinstalliert, ggf. über eine Zertifikatskette bis zu einer Wurzel-CA); sie prüft die Signatur des Zertifikats und, ob Name und Gültigkeit passen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MitM: Ein Angreifer könnte der App sonst seinen eigenen öffentlichen Schlüssel unterschieben, alle Befehle entschlüsseln, verändern und weiterleiten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Für seinen Schlüssel besitzt er kein von der CA signiertes Zertifikat mit dem Namen des Parkhaus-Servers; eine Fälschung würde bei der Prüfung auffallen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„Zertifikat beweist, dass der Server vertrauenswürdig ist“ (P9); CA signiert mit dem öffentlichen Schlüssel (P9).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2g)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Die App signiert jeden Öffnungsbefehl digital.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Beschreiben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Sie, wie der Server prüft, dass ein Öffnungsbefehl tatsächlich von der App der registrierten Person stammt und unverändert ist.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Die App hat den Hashwert des Befehls mit dem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privaten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Schlüssel der Person verschlüsselt; der Server entschlüsselt die Signatur mit dem bei der Registrierung hinterlegten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öffentlichen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Schlüssel und vergleicht mit dem selbst berechneten Hashwert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Übereinstimmung → unverändert und von dieser Person, da nur sie den privaten Schlüssel besitzt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III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1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/>
                <w:color w:val="1B1B1F"/>
                <w:sz w:val="19"/>
              </w:rPr>
              <w:t>Typische Fehler:</w:t>
            </w: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 xml:space="preserve"> Schlüsselrollen vertauscht bzw. Hashvergleich fehlt (P9).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40"/>
      </w:pPr>
      <w:r>
        <w:rPr>
          <w:rFonts w:ascii="Calibri" w:hAnsi="Calibri" w:cs="Calibri" w:eastAsia="Calibri"/>
          <w:b/>
          <w:color w:val="14213D"/>
          <w:sz w:val="21"/>
        </w:rPr>
        <w:t xml:space="preserve">2h) 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>Der Server speichert zu jeder Öffnung Boxnummer, Nutzerkennung und Uhrzeit.</w:t>
      </w:r>
      <w:r>
        <w:br/>
      </w:r>
      <w:r>
        <w:rPr>
          <w:rFonts w:ascii="Calibri" w:hAnsi="Calibri" w:cs="Calibri" w:eastAsia="Calibri"/>
          <w:b/>
          <w:i w:val="0"/>
          <w:color w:val="4A4A55"/>
          <w:sz w:val="19"/>
        </w:rPr>
        <w:t>Nennen</w:t>
      </w:r>
      <w:r>
        <w:rPr>
          <w:rFonts w:ascii="Calibri" w:hAnsi="Calibri" w:cs="Calibri" w:eastAsia="Calibri"/>
          <w:b w:val="0"/>
          <w:i w:val="0"/>
          <w:color w:val="4A4A55"/>
          <w:sz w:val="19"/>
        </w:rPr>
        <w:t xml:space="preserve"> Sie zwei Grundsätze der Datenschutz-Grundverordnung (DSGVO), die dabei zu beachten sind.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7144"/>
        <w:gridCol w:w="850"/>
        <w:gridCol w:w="793"/>
        <w:gridCol w:w="737"/>
      </w:tblGrid>
      <w:tr>
        <w:trPr>
          <w:cantSplit/>
          <w:tblHeader/>
        </w:trPr>
        <w:tc>
          <w:tcPr>
            <w:tcW w:type="dxa" w:w="714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Erwartete Leistung (Kernpunkte)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AFB</w:t>
            </w:r>
          </w:p>
        </w:tc>
        <w:tc>
          <w:tcPr>
            <w:tcW w:type="dxa" w:w="7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✓</w:t>
            </w:r>
          </w:p>
        </w:tc>
      </w:tr>
      <w:tr>
        <w:trPr>
          <w:cantSplit/>
        </w:trPr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9"/>
              </w:rPr>
              <w:t>Zwei von: Zweckbindung, Datenminimierung, Speicherbegrenzung, Rechtmäßigkeit/Transparenz, Richtigkeit, Integrität und Vertraulichkeit, Rechenschaftspflicht (je 1 BE), möglichst mit kurzem Bezug (z. B. Öffnungsprotokolle nach Ablauf einer Frist löschen)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I</w:t>
            </w:r>
          </w:p>
        </w:tc>
        <w:tc>
          <w:tcPr>
            <w:tcW w:type="dxa" w:w="79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☐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Verteilung auf die Anforderungsbereiche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cantSplit/>
          <w:tblHeader/>
        </w:trPr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AFB III</w:t>
            </w:r>
          </w:p>
        </w:tc>
        <w:tc>
          <w:tcPr>
            <w:tcW w:type="dxa" w:w="19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gesamt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16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26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8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50</w:t>
            </w:r>
          </w:p>
        </w:tc>
      </w:tr>
      <w:tr>
        <w:trPr>
          <w:cantSplit/>
        </w:trPr>
        <w:tc>
          <w:tcPr>
            <w:tcW w:type="dxa" w:w="1905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Anteil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32 %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52 %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16 %</w:t>
            </w:r>
          </w:p>
        </w:tc>
        <w:tc>
          <w:tcPr>
            <w:tcW w:type="dxa" w:w="19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100 %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8A5F1A"/>
          <w:sz w:val="24"/>
        </w:rPr>
        <w:t>Notenschlüssel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963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</w:tblGrid>
      <w:tr>
        <w:trPr>
          <w:cantSplit/>
          <w:tblHeader/>
        </w:trPr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Punkte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15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14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13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12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11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10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9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8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7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6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5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4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3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2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1</w:t>
            </w:r>
          </w:p>
        </w:tc>
        <w:tc>
          <w:tcPr>
            <w:tcW w:type="dxa" w:w="53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7"/>
              </w:rPr>
              <w:t>ab BE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48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45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43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40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38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35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33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30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28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25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23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20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17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14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10</w:t>
            </w:r>
          </w:p>
        </w:tc>
        <w:tc>
          <w:tcPr>
            <w:tcW w:type="dxa" w:w="53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7"/>
              </w:rPr>
              <w:t>0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NACHSCHREIBKLAUSUR gA · Mäander-Wechselrad · EH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