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3 · DAS MASCHINENZEITALTER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11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KNACK-ARENA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Knack-Arena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ÜBERBLICK FÜR DIE LEHRKRAFT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474"/>
              <w:gridCol w:w="7711"/>
            </w:tblGrid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Lernziel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Teams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entwerfen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aus dem Baukasten ein symmetrisches Verfahren, stellen es nach dem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Kerckhoffs-Prinzip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öffentlich zur Diskussion, greifen fremde Verfahren an und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beurteilen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 xml:space="preserve"> ihr eigenes mit dem Raster WK3 (KC eA: entwerfen und implementieren ein symmetrisches Verfahren).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Zeit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Werkstatt 20 min · Arena 25 min · Beurteilen 10 min (DS 11, vor ADFGVX)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Teams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2–4 Personen je Team (feste Tischgruppen)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Plattform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Level 3.3: Baukasten mit Umkehrbarkeitsprüfung, Arena (Lehrkraft-Bereich: „Werkstatt starten“, „Arena öffnen“, „Arena schließen“), alle Labor-Werkzeuge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474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Material</w:t>
                  </w:r>
                </w:p>
              </w:tc>
              <w:tc>
                <w:tcPr>
                  <w:tcW w:type="dxa" w:w="7710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0"/>
                    </w:rPr>
                    <w:t>Akte W3·3 (Baukasten, Arena-Regeln, Raster), Beurteilungsbogen (Seite 3); ohne Plattform: Verfahrenskarten, Umschläge, Lösungszettel, zwei Stempel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Ablauf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247"/>
        <w:gridCol w:w="850"/>
        <w:gridCol w:w="4762"/>
        <w:gridCol w:w="907"/>
        <w:gridCol w:w="1757"/>
      </w:tblGrid>
      <w:tr>
        <w:trPr>
          <w:cantSplit/>
          <w:tblHeader/>
        </w:trPr>
        <w:tc>
          <w:tcPr>
            <w:tcW w:type="dxa" w:w="124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Zeit</w:t>
            </w:r>
          </w:p>
        </w:tc>
        <w:tc>
          <w:tcPr>
            <w:tcW w:type="dxa" w:w="476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Regeln</w:t>
            </w:r>
          </w:p>
        </w:tc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Wer</w:t>
            </w:r>
          </w:p>
        </w:tc>
        <w:tc>
          <w:tcPr>
            <w:tcW w:type="dxa" w:w="175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Werkstatt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20 min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Teams bauen im Baukasten ein Verfahren aus 1–4 Stufen, schreiben einen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selbst formulierten deutschen Text mit ≥ 150 Buchstaben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(nach Normalisierung; keine Personennamen, keine kopierten Texte), lassen die Umkehrbarkeitsprüfung laufen, geben eine Verfahrensbeschreibung (Abitur-Stil) ein und reichen ein. Gespeichert werden Stufenliste, Beschreibung, Geheimtext und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Hash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des normalisierten Klartextes; Schlüssel und Klartext bleiben im Browser des Teams.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Baukasten, Akte W3·3 A1–A2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Arena offen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 min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Alle Verfahren mit Beschreibung und Geheimtext sind für alle sichtbar (Kerckhoffs). Angriffe mit allen Labor-Werkzeugen (Häufigkeits-Analysator, Vigenère-Werkbank, Bit-Lupe, Baukasten im Testmodus). Je fremdem Verfahren beliebig viele Lösungsversuche, höchstens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1 Versuch je 30 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.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Arena, Beamer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Prüfung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sofort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Der Server normalisiert den eingereichten Text (Großbuchstaben, ae/oe/ue/ss, nur A–Z) und vergleicht den Hash. Bei Übereinstimmung: „geknackt“, Zeit wird notiert, Abzeichen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„Arena-Knacker“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für alle Mitglieder des angreifenden Teams.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Plattform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Schluss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nach 25 min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Lehrkraft schließt die Arena. Ungeknackte Verfahren erhalten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„Unknackbar“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. Beamer zeigt je Verfahren Stufen, Knackzeit und Angreifer.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Lehrkraft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Beamer, Folie 23</w:t>
            </w:r>
          </w:p>
        </w:tc>
      </w:tr>
      <w:tr>
        <w:trPr>
          <w:cantSplit/>
        </w:trPr>
        <w:tc>
          <w:tcPr>
            <w:tcW w:type="dxa" w:w="124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Beurteilen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 min</w:t>
            </w:r>
          </w:p>
        </w:tc>
        <w:tc>
          <w:tcPr>
            <w:tcW w:type="dxa" w:w="476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Jedes Team füllt den Beurteilungsbogen (WK3) aus – Befund je Kriterium und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Urteil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. Die Lehrkraft sieht alle Beurteilungen gesammelt.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Teams</w:t>
            </w:r>
          </w:p>
        </w:tc>
        <w:tc>
          <w:tcPr>
            <w:tcW w:type="dxa" w:w="17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Beurteilungsbogen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HINWEISE FÜR DIE LEHRKRAFT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nur aus Transpositionsstufen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sind meist schnell erkannt (deutsche Häufigkeiten bleiben erhalten, P6).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Caesar oder Substitution allein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fällt in Minuten (26 Schlüssel bzw. Häufigkeitsanalyse).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Vigenère + Spaltentransposition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langen Schlüsseln bleibt oft „unknackbar“ – genau dann lohnt die Diskussion: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„unknackbar in 25 Minuten ≠ sicher“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(Rechnerangriff, Schlüsselraum, Strukturschwächen).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XOR-Verfahren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werden als Hex angezeigt; Hilfe für Angreifer: Bit-Lupe (Wiederholungs-Modus) und Kasiski auf Bytes.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Werkstatt-Hinweise der Plattform blockieren nicht: k = 0, Wort „AAAA“, alphabetischer Spaltenschlüssel (P7); CAE + VIG nebeneinander, zweimal UMK (P8).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Datenschutz: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Arena-Daten bleiben kursintern und werden mit dem Arena-Ende gelöscht (spätestens mit Kurs/Konto), Beschreibungen und Beurteilungen mit.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ARENA-REGELN (FÜR ALLE TEAMS)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Kerckhoffs: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Euer Verfahren und euer Geheimtext sind öffentlich – geheim bleibt nur der Schlüssel.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Euer Klartext ist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selbst formulierter deutscher Text mit mindestens 150 Buchstaben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(keine Namen von Personen, keine Zitate aus dem Netz).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1 bis 4 Stufen aus dem Baukasten, XOR nur als letzte Stufe, es wird nie aufgefüllt.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Eine Lösung zählt, wenn der eingereichte Klartext nach Normalisierung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exakt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übereinstimmt. Höchstens ein Versuch je 30 Sekunden und Verfahren.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Abzeichen: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„Arena-Knacker“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jedes Team, das ein fremdes Verfahren knackt;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„Unknackbar“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für jedes Verfahren, das bei Arena-Schluss ungeknackt ist.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Beurteilungsbogen nach WK3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Team: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  Verfahren (Stufen):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____________________________________</w:t>
      </w:r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Ergebnis in der Arena:  ☐ unknackbar   ☐ geknackt nach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min von Team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2494"/>
        <w:gridCol w:w="5329"/>
      </w:tblGrid>
      <w:tr>
        <w:trPr>
          <w:cantSplit/>
          <w:tblHeader/>
        </w:trPr>
        <w:tc>
          <w:tcPr>
            <w:tcW w:type="dxa" w:w="170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Kriterium</w:t>
            </w:r>
          </w:p>
        </w:tc>
        <w:tc>
          <w:tcPr>
            <w:tcW w:type="dxa" w:w="24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Leitfrage</w:t>
            </w:r>
          </w:p>
        </w:tc>
        <w:tc>
          <w:tcPr>
            <w:tcW w:type="dxa" w:w="532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Muster-Befund für „FUNKGITTER“ (VIG + SPA, Schlüsselwort FUNKE)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Schlüsselraum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Wie viele Schlüssel? Brute Force?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Wörter der Länge 5 aus 26 Buchstaben → 26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  <w:vertAlign w:val="superscript"/>
              </w:rPr>
              <w:t>5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 xml:space="preserve"> ≈ 11,9 Millionen – mit dem Rechner durchsuchbar, von Hand nicht.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Häufigkeitsanalyse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Verteilung erhalten? Mono/poly?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Stufe 1 polyalphabetisch mit Periode = Wortlänge; Stufe 2 zerstört die Reihenfolge – Teiltexte (jede 5. Stelle, Positionen ab 0) erst nach Rückgängigmachen der Transposition bildbar.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Schwache Schlüssel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 = 0, AAAA, alphabetisch?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AAAAA (Stufe 1 wirkungslos) und Wörter in alphabetischer Reihenfolge wie ABCDE (Spalten in natürlicher Reihenfolge).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Kombination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Verschmelzen? Aufheben?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Substitution + Transposition ergänzen sich.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Known-Plaintext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Schlüssel aus bekanntem Stück?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Bekannter Klartext an bekannter Stelle erlaubt, Schlüsselbuchstaben zu testen, sobald die Spaltenreihenfolge geraten ist.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Fehlerfortpflanzung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Falsches / fehlendes Zeichen?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 falsches Zeichen → ein falsches Klartextzeichen; ein fehlendes Zeichen → ab der betroffenen Spalte verschoben.</w:t>
            </w:r>
          </w:p>
        </w:tc>
      </w:tr>
      <w:tr>
        <w:trPr>
          <w:cantSplit/>
        </w:trPr>
        <w:tc>
          <w:tcPr>
            <w:tcW w:type="dxa" w:w="170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Kerckhoffs / Arena</w:t>
            </w:r>
          </w:p>
        </w:tc>
        <w:tc>
          <w:tcPr>
            <w:tcW w:type="dxa" w:w="24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Hielt es?</w:t>
            </w:r>
          </w:p>
        </w:tc>
        <w:tc>
          <w:tcPr>
            <w:tcW w:type="dxa" w:w="532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Gegen Angriffe von Hand in 25 min meist „unknackbar“.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UNSER URTEIL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„Unser Verfahren ist gegen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sicher / unsicher, weil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am meisten gefährdet ist es durch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;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verbessern würden wir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.“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Muster-Urteil FUNKGITTER: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gegen Angriffe von Hand in der Arena gut, für Rechnerangriffe zu klein und strukturell schwach (Wortlänge = Periode = Spaltenzahl verrät viel); Verbesserung: zwei verschiedene, längere Schlüssel.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Jedes Kriterium hat einen Befund mit Begründung.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Wir haben ein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Urteil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formuliert (ohne Urteil keine volle Punktzahl – Falle P10).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556B2F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Wir haben einen konkreten Verbesserungsvorschlag.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r>
        <w:br w:type="page"/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556B2F"/>
          <w:sz w:val="24"/>
        </w:rPr>
        <w:t>Papier-Alternative (ohne Plattform)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ABLAUF „ARENA-WAND“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Jedes Team schreibt Verfahrensbeschreibung und Geheimtext (Fünfergruppen, von Hand verschlüsselt, Text ≥ 150 Buchstaben – bei Zeitnot ≥ 80) auf eine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Verfahrenskarte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Den Klartext gibt das Team 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verschlossenen Umschlag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 der Lehrkraft ab.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Die Karten hängen an der Tafel („Arena-Wand“). Angreifende Teams geben ihren Lösungsvorschlag auf einem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Lösungszettel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ab.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Die Lehrkraft vergleicht mit dem Umschlag und stempelt „Arena-Knacker“ auf die Karte; ungeknackte Karten erhalten am Ende den Stempel „Unknackbar“.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556B2F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Plattform-Abzeichen werden nachträglich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vergeben (nur automatisch im Lab) – die Papier-Fassung ist ein Spiel ohne Plattformpunkte. Beurteilung mit dem Bogen oben.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556B2F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556B2F"/>
                <w:spacing w:val="16"/>
                <w:sz w:val="21"/>
              </w:rPr>
              <w:t>VERFAHRENSKARTE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Team: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         Anzahl Buchstaben: </w:t>
            </w: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Verfahrensbeschreibung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(Schlüsselformat, Vorbereitung, Stufe 1, Stufe 2, … – Abitur-Stil):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Geheimtext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(Fünfergruppen):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p>
            <w:pPr>
              <w:spacing w:before="0" w:after="12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2"/>
              </w:rPr>
              <w:t>______________________________________________________________________________</w:t>
            </w:r>
          </w:p>
          <w:tbl>
            <w:tblPr>
              <w:tblW w:type="dxa" w:w="9185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rPr>
                <w:cantSplit/>
                <w:tblHeader/>
              </w:trPr>
              <w:tc>
                <w:tcPr>
                  <w:tcW w:type="dxa" w:w="459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Stempel „Arena-Knacker“ (Team, Zeit)</w:t>
                  </w:r>
                </w:p>
              </w:tc>
              <w:tc>
                <w:tcPr>
                  <w:tcW w:type="dxa" w:w="4592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Stempel „Unknackbar“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59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br/>
                  </w:r>
                  <w:r>
                    <w:br/>
                  </w:r>
                  <w:r>
                    <w:br/>
                  </w:r>
                </w:p>
              </w:tc>
              <w:tc>
                <w:tcPr>
                  <w:tcW w:type="dxa" w:w="4592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br/>
                  </w:r>
                  <w:r>
                    <w:br/>
                  </w:r>
                  <w:r>
                    <w:br/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  <w:tcMar>
              <w:top w:w="0" w:type="dxa"/>
              <w:start w:w="0" w:type="dxa"/>
              <w:bottom w:w="0" w:type="dxa"/>
              <w:end w:w="12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B3261E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B3261E"/>
                      <w:spacing w:val="16"/>
                      <w:sz w:val="21"/>
                    </w:rPr>
                    <w:t>LÖSUNGSZETTEL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Angreifendes Team: 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__________________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Ziel-Verfahren (Team): 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Uhrzeit: 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Klartext:</w:t>
                  </w:r>
                </w:p>
                <w:p>
                  <w:pPr>
                    <w:spacing w:before="0" w:after="12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____________________________________</w:t>
                  </w:r>
                </w:p>
                <w:p>
                  <w:pPr>
                    <w:spacing w:before="0" w:after="12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____________________________________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Mar>
              <w:top w:w="0" w:type="dxa"/>
              <w:start w:w="120" w:type="dxa"/>
              <w:bottom w:w="0" w:type="dxa"/>
              <w:end w:w="0" w:type="dxa"/>
            </w:tcMar>
          </w:tcPr>
          <w:p>
            <w:pPr>
              <w:spacing w:after="0"/>
            </w:pPr>
          </w:p>
          <w:tbl>
            <w:tblPr>
              <w:tblW w:type="dxa" w:w="459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</w:tblGrid>
            <w:tr>
              <w:tc>
                <w:tcPr>
                  <w:tcW w:type="dxa" w:w="4592"/>
                  <w:tcBorders>
                    <w:top w:val="double" w:sz="6" w:space="0" w:color="B3261E"/>
                    <w:left w:val="single" w:sz="4" w:space="0" w:color="D8CDB8"/>
                    <w:bottom w:val="single" w:sz="4" w:space="0" w:color="D8CDB8"/>
                    <w:right w:val="single" w:sz="4" w:space="0" w:color="D8CDB8"/>
                  </w:tcBorders>
                  <w:shd w:val="clear" w:color="auto" w:fill="FFFFFF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B3261E"/>
                      <w:spacing w:val="16"/>
                      <w:sz w:val="21"/>
                    </w:rPr>
                    <w:t>LÖSUNGSZETTEL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Angreifendes Team: 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__________________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Ziel-Verfahren (Team): 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Uhrzeit: 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>Klartext:</w:t>
                  </w:r>
                </w:p>
                <w:p>
                  <w:pPr>
                    <w:spacing w:before="0" w:after="12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____________________________________</w:t>
                  </w:r>
                </w:p>
                <w:p>
                  <w:pPr>
                    <w:spacing w:before="0" w:after="12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4A4A55"/>
                      <w:sz w:val="22"/>
                    </w:rPr>
                    <w:t>____________________________________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KNACK-ARENA W3 · Knack-Arena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