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PAPIER-BOSS W6 · GENERALPROBE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18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PROBEKLAUSUR eA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KETTENSCHRIFT – Erwartungshorizont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7A2E2E"/>
              </w:rPr>
              <w:t xml:space="preserve"> eA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381"/>
        <w:gridCol w:w="7144"/>
      </w:tblGrid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Bearbeitungszeit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70 Minuten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Hilfsmittel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ausschließlich die Anlage der Ergänzenden Hinweise zum KC Informatik (Juni 2025) in ausgedruckter Form: Alphabet mit Nummerierung (A = 1 … Z = 26), Vigenère-Quadrat, ASCII-Tabelle (Auszug 32–126) – im Kurs als Werkzeugkarte WK1 ausgegeben, liegt dieser Prüfung als Anlage bei. Kein Taschenrechner, keine Formelsammlung, keine eigenen Notizen.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Bewertungseinheiten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 BE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Prüfung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Probeklausur unter Abiturbedingungen (Block 2) · Informatik · erhöhtes Anforderungsniveau (eA)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Thema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Kryptologie – Kryptos · Die Zeitreise der Geheimschriften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Name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____________________________________________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Kurs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Datum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4A4A55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Bewertungsgrundsätze</w:t>
            </w:r>
          </w:p>
        </w:tc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Bewertet wird nach Kernpunkten; gleichwertige, fachlich richtige Alternativen werden voll anerkannt.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Folgefehler: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 xml:space="preserve"> Wer mit einem falschen Zwischenergebnis korrekt weiterrechnet, erhält für die Folgeschritte volle Punkte (außer das Ergebnis wird dadurch trivial). „Beurteilen“ ohne ausdrückliches Urteil sowie „begründen/erläutern“ ohne kausale Verknüpfung bzw. ohne Beispiel: höchstens die Hälfte der BE. „Entscheiden (begründet)“: Entscheidung ohne Begründung bzw. Begründung mit falscher Entscheidung: 0 BE. Fachbegriffe werden erwartet.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60" w:after="80"/>
      </w:pPr>
      <w:r>
        <w:rPr>
          <w:rFonts w:ascii="Georgia" w:hAnsi="Georgia" w:cs="Georgia" w:eastAsia="Georgia"/>
          <w:b/>
          <w:color w:val="8A5F1A"/>
          <w:sz w:val="28"/>
        </w:rPr>
        <w:t>Aufgabe</w:t>
      </w:r>
      <w:r>
        <w:rPr>
          <w:rFonts w:ascii="Georgia" w:hAnsi="Georgia" w:cs="Georgia" w:eastAsia="Georgia"/>
          <w:b/>
          <w:color w:val="1B1B1F"/>
          <w:sz w:val="28"/>
        </w:rPr>
        <w:t xml:space="preserve"> · Der Geocaching-Verein</w:t>
      </w:r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a)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Ein Hinweis lautet im Klartext „felsspalte“.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Geheimtext für die Blocklänge b = 3 und den Startbuchstaben S = B.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FEL | SSP | ALT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 | SPS | LTA | 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ELFSPSLTAE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(der letzte Block aus einem Zeichen bleibt)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Kette mit S = B (Wert 2): E 5 + 2 = 7 G · L 12 + 7 = 19 S · F 6 + 19 = 25 Y · S 19 + 25 = 44 → 18 R · P 16 + 18 = 34 → 8 H · S 19 + 8 = 27 → 1 A · L 12 + 1 = 13 M · T 20 + 13 = 33 → 7 G · A 1 + 7 = 8 H · E 5 + 8 = 13 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Geheimtext </w:t>
            </w:r>
            <w:r>
              <w:rPr>
                <w:rFonts w:ascii="Consolas" w:hAnsi="Consolas" w:cs="Consolas" w:eastAsia="Consolas"/>
                <w:b/>
                <w:i w:val="0"/>
                <w:color w:val="1B1B1F"/>
                <w:sz w:val="19"/>
              </w:rPr>
              <w:t>GSYRH AMGHM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Zwischentext statt Geheimtext als Vorgänger addiert (P4); S = B mit Wert 1 (P1); Rest nicht gebildet bzw. 26 statt 0 falsch behandelt (P2); letzter Block „E“ vergessen (P4); nach rechts statt nach links rotiert (P4).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b)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Ein veröffentlichter Hinweis lautet </w:t>
      </w:r>
      <w:r>
        <w:rPr>
          <w:rFonts w:ascii="Consolas" w:hAnsi="Consolas" w:cs="Consolas" w:eastAsia="Consolas"/>
          <w:b w:val="0"/>
          <w:i w:val="0"/>
          <w:color w:val="4A4A55"/>
          <w:sz w:val="19"/>
        </w:rPr>
        <w:t>TXCDU PUMYD P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. Er wurde mit der Blocklänge b = 4 und dem Startbuchstaben S = F verschlüsselt.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Bestimmen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den zugehörigen Klartext. Verwenden Sie für die Dokumentation die Vorlage in Abbildung 2.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Umkehrung erkannt: zuerst Stufe 2 rückgängig (Wert des Geheimtextzeichens minus Wert des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vorherigen Geheimtextzeichens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, beim ersten Zeichen minus Wert von S = F = 6), dann Stufe 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Vorlage: Werte 20 24 3 4 21 16 21 13 25 4 16; abgezogen 6 20 24 3 4 21 16 21 13 25 4; Differenzen 14 4 −21 → 5 1 17 −5 → 21 5 −8 → 18 12 −21 → 5 12;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NDEAQUERLEL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Blöcke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NDEA | QUER | 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Rotation umkehren (letztes Zeichen jedes Blocks nach vorn)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ANDE | RQUE | 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Klartext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anderquelle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(„an der Quelle“)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vorheriges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Zwischen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textzeichen statt Geheimtextzeichen abgezogen (P3); negative Differenz nicht in 1 … 26 überführt (P2); letzter Block der Länge 3 als Block der Länge 4 behandelt (P4); Rotation in derselben statt in der umgekehrten Richtung (P3); Stufen in falscher Reihenfolge rückgängig gemacht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c)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jede der beiden Stufen begründet, ob es sich um eine Transposition oder um eine Substitution handelt und – im Fall einer Substitution – ob diese monoalphabetisch oder polyalphabetisch ist.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1: Transposition – die Zeichen bleiben erhalten, nur ihre Reihenfolge innerhalb der Blöcke ändert sich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2: Substitution – jedes Zeichen wird durch ein (berechnetes) anderes Zeichen ersetzt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2 ist polyalphabetisch: Die Verschiebung eines Zeichens hängt vom vorherigen Geheimtextzeichen ab und wechselt daher; derselbe Zwischentextbuchstabe wird verschieden verschlüsselt, z. B. in Abbildung 1 H → P (Position 7) und H → X (Position 8), E → H (Position 6) und E → C (Position 9)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„Stufe 2 ist monoalphabetisch, weil jeder Buchstabe nur einmal ersetzt wird“ (P5); Stufe 1 als Substitution bezeichnet, weil „sich die Buchstaben an den Positionen ändern“ (P5).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d) 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Bei der Übertragung eines Geheimtextes wird genau ein Geheimtextzeichen falsch notiert.</w:t>
      </w:r>
      <w:r>
        <w:br/>
      </w:r>
      <w:r>
        <w:rPr>
          <w:rFonts w:ascii="Calibri" w:hAnsi="Calibri" w:cs="Calibri" w:eastAsia="Calibri"/>
          <w:b/>
          <w:i w:val="0"/>
          <w:color w:val="4A4A55"/>
          <w:sz w:val="19"/>
        </w:rPr>
        <w:t>Analysieren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sich dieser Fehler auf den entschlüsselten Klartext auswirkt.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Beim Entschlüsseln gilt für jedes Zeichen: Zwischentextzeichen = Geheimtextzeichen minus vorheriges Geheimtextzeichen. Ein falsches Geheimtextzeichen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geht in genau zwei Differenzen ein: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und für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i+1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Alle anderen Zwischentextzeichen werden korrekt bestimmt, da jede Differenz nur zwei benachbarte Geheimtextzeichen verwendet – der Fehler pflanzt sich nicht weiter fort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Stufe 1 vertauscht nur Positionen innerhalb der Blöcke: Im Klartext sind daher genau zwei Buchstaben falsch (ggf. in zwei benachbarten Blöcken); ist das letzte Geheimtextzeichen betroffen, nur einer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Nachweis an einem selbst gewählten Beispiel mit korrekter Rechnung und Verallgemeinerung.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„alle folgenden Zeichen werden falsch“ – das gilt beim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Verschlüsseln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für eine Änderung des Klartextes, nicht beim Entschlüsseln (P3); nur Stufe 2 betrachtet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e)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dass sich ab dem zweiten Zeichen jedes Zeichen des Zwischentextes aus dem Geheimtext bestimmen lässt, ohne den Startbuchstaben S zu kennen.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Für i ≥ 2 gilt nach Abbildung 1: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+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i−1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)) mod 26. Umgestellt: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−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i−1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)) mod 26 (Rest 0 → 26)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Diese Gleichung enthält nur Geheimtextzeichen; S geht ausschließlich in die Berechnung von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ein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Beleg, z. B. Abbildung 1: Y − D = 25 − 4 = 21 = U =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2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L − Y = 12 − 25 = −13 → 13 = M = 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3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nur Beispiel ohne allgemeine Begründung (P10); Summe statt Differenz (P3).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f)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Entwickeln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unter Verwendung Ihres Ergebnisses aus Teilaufgabe e) eine Vorgehensweise, mit der ein Angreifer einen Geheimtext ohne Kenntnis des Schlüssels entschlüsseln kann, und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beurteilen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die Sicherheit des Verfahrens KETTENSCHRIFT.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1: Differenzen benachbarter Geheimtextzeichen bilden → Zwischentext ab dem 2. Zeichen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2: erstes Zeichen: alle 26 Startbuchstaben ausprobieren bzw. aus dem Zusammenhang erraten (ein einziges Zeichen)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Schritt 3: Stufe 1 rückgängig machen, indem man die Blocklängen 2, …, 6 ausprobiert (in jedem Block das letzte Zeichen nach vorn) und den sinnvollen deutschen Text auswählt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Beurteilung mit Kriterien: Schlüsselraum nur 5 · 26 = 130 Schlüssel (Brute Force von Hand möglich); der Startbuchstabe schützt nur ein einziges Zeichen; die Transposition ist kurz und schlüsselarm; nach dem Kerckhoffs-Prinzip ist das Verfahren als bekannt anzunehmen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Urteil: KETTENSCHRIFT bietet keine Sicherheit gegen einen Angreifer, der das Verfahren kennt; geeignet allenfalls als Rätsel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Brute Force über alle 130 Schlüssel als Hauptweg (volle Punkte bei vollständiger Begründung); Häufigkeitsanalyse der Differenzfolge (sie ist der transponierte Klartext, Buchstabenhäufigkeiten wie Deutsch).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Häufigkeitsanalyse direkt auf den Geheimtext (P6); Schlüsselraum 26 · 26 oder 26! (P7); Beurteilung ohne Urteil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g)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Entscheiden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für die folgenden Aussagen jeweils begründet, ob sie korrekt oder falsch sind.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(1) Führt man die beiden Stufen in umgekehrter Reihenfolge aus (erst Stufe 2, dann Stufe 1), erhält man denselben Geheimtext.</w:t>
      </w:r>
      <w:r>
        <w:br/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>(2) Wendet man Stufe 1 mit der Blocklänge b genau b-mal hintereinander an, erhält man stets wieder den ursprünglichen Text.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(1)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: Stufe 2 verknüpft jedes Zeichen mit dem vorherigen Geheimtextzeichen, das Ergebnis hängt also von der Reihenfolge der Zeichen ab; vertauscht man die Stufen, wird in einer anderen Reihenfolge verkettet. Gegenbeispiel Abbildung 1: Stufe 2 zuerst ergibt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EFANVKPXJO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nach Blockrotation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FANEK PXVOJ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statt DYLNC HPXCO (Abbildung 1) (bereits das erste Zeichen F ≠ D genügt als Gegenbeispiel)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falsch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: Ein voller Block der Länge b ist nach b Rotationen wieder im Ausgangszustand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(2) Der kürzere letzte Block der Länge r wird aber ebenfalls b-mal rotiert; das wirkt wie (b mod r) Rotationen. Ist r kein Teiler von b, bleibt er verändert. Gegenbeispiel: anderquelle, b = 4, letzter Block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nach 4 Rotationen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, Ergebnis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ANDERQUELEL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. (Korrekt ist die Aussage nur, wenn die Textlänge ein Vielfaches von b oder r ein Teiler von b ist, z. B. baumhoehle mit r = 2.)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Entscheidung ohne Begründung (P10); bei (2) den kürzeren letzten Block übersehen (P4); bei (1) „korrekt, da beide Stufen umkehrbar sind“ (P8).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h)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Zeigen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 an einem Beispiel, dass zwei verschiedene Klartexte bei gleichem Schlüssel dasselbe Prüfzeichen erzeugen können.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Das Prüfzeichen ist 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mit Wert(g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= (Wert(S) +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1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) + … + Wert(z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  <w:vertAlign w:val="subscript"/>
              </w:rPr>
              <w:t>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)) mod 26 – es hängt nur von der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Summe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der Werte ab; Stufe 1 ändert die Summe nicht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Beispiel mit vollständiger Rechnung, z. B. b = 3, S = K: „insel“ → Zwischentext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NSILE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YRAMR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; „linse“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INLES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i w:val="0"/>
                <w:color w:val="1B1B1F"/>
                <w:sz w:val="19"/>
              </w:rPr>
              <w:t>THTYR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>; beide Prüfzeichen R (Summe 11 + 59 = 70, 70 mod 26 = 18)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2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Alternativen: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jedes Anagramm; zwei Texte, bei denen ein Buchstabe um 1 erhöht und ein anderer um 1 erniedrigt ist (Summe gleich); ein Beispiel ohne Rechnung, aber mit Summenargument: im zweiten Kernpunkt 1 BE.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Behauptung ohne Beispiel (P10).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40"/>
      </w:pPr>
      <w:r>
        <w:rPr>
          <w:rFonts w:ascii="Calibri" w:hAnsi="Calibri" w:cs="Calibri" w:eastAsia="Calibri"/>
          <w:b/>
          <w:color w:val="14213D"/>
          <w:sz w:val="21"/>
        </w:rPr>
        <w:t xml:space="preserve">i) </w:t>
      </w:r>
      <w:r>
        <w:rPr>
          <w:rFonts w:ascii="Calibri" w:hAnsi="Calibri" w:cs="Calibri" w:eastAsia="Calibri"/>
          <w:b/>
          <w:i w:val="0"/>
          <w:color w:val="4A4A55"/>
          <w:sz w:val="19"/>
        </w:rPr>
        <w:t>Erläutern</w:t>
      </w:r>
      <w:r>
        <w:rPr>
          <w:rFonts w:ascii="Calibri" w:hAnsi="Calibri" w:cs="Calibri" w:eastAsia="Calibri"/>
          <w:b w:val="0"/>
          <w:i w:val="0"/>
          <w:color w:val="4A4A55"/>
          <w:sz w:val="19"/>
        </w:rPr>
        <w:t xml:space="preserve"> Sie, wie der Verein stattdessen mithilfe einer digitalen Signatur sicherstellen kann, dass ein Hinweis unverändert ist und tatsächlich vom Verein stammt.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7144"/>
        <w:gridCol w:w="850"/>
        <w:gridCol w:w="793"/>
        <w:gridCol w:w="737"/>
      </w:tblGrid>
      <w:tr>
        <w:trPr>
          <w:cantSplit/>
          <w:tblHeader/>
        </w:trPr>
        <w:tc>
          <w:tcPr>
            <w:tcW w:type="dxa" w:w="7143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Erwartete Leistung (Kernpunkte)</w:t>
            </w:r>
          </w:p>
        </w:tc>
        <w:tc>
          <w:tcPr>
            <w:tcW w:type="dxa" w:w="85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AFB</w:t>
            </w:r>
          </w:p>
        </w:tc>
        <w:tc>
          <w:tcPr>
            <w:tcW w:type="dxa" w:w="79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BE</w:t>
            </w:r>
          </w:p>
        </w:tc>
        <w:tc>
          <w:tcPr>
            <w:tcW w:type="dxa" w:w="73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✓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Der Verein bildet den Hashwert des Hinweises und verschlüsselt ihn mit seinem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privaten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Schlüssel; diese Signatur wird mit dem Hinweis veröffentlicht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Mitglieder entschlüsseln die Signatur mit dem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19"/>
              </w:rPr>
              <w:t>öffentlichen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Schlüssel des Vereins und vergleichen das Ergebnis mit dem selbst berechneten Hashwert des Hinweises: Stimmen sie überein, ist der Hinweis unverändert (Integrität) und stammt vom Verein, da nur dieser den privaten Schlüssel besitzt (Authentizität)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I</w:t>
            </w: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1</w:t>
            </w: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☐</w:t>
            </w:r>
          </w:p>
        </w:tc>
      </w:tr>
      <w:tr>
        <w:trPr>
          <w:cantSplit/>
        </w:trPr>
        <w:tc>
          <w:tcPr>
            <w:tcW w:type="dxa" w:w="7143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i/>
                <w:color w:val="1B1B1F"/>
                <w:sz w:val="19"/>
              </w:rPr>
              <w:t>Typische Fehler:</w:t>
            </w:r>
            <w:r>
              <w:rPr>
                <w:rFonts w:ascii="Calibri" w:hAnsi="Calibri" w:cs="Calibri" w:eastAsia="Calibri"/>
                <w:i w:val="0"/>
                <w:color w:val="1B1B1F"/>
                <w:sz w:val="19"/>
              </w:rPr>
              <w:t xml:space="preserve"> Signieren mit dem öffentlichen Schlüssel (P9); Hashvergleich fehlt (P9).</w:t>
            </w:r>
          </w:p>
        </w:tc>
        <w:tc>
          <w:tcPr>
            <w:tcW w:type="dxa" w:w="85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9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  <w:tc>
          <w:tcPr>
            <w:tcW w:type="dxa" w:w="73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Verteilung auf die Anforderungsbereiche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rPr>
          <w:cantSplit/>
          <w:tblHeader/>
        </w:trPr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AFB III</w:t>
            </w:r>
          </w:p>
        </w:tc>
        <w:tc>
          <w:tcPr>
            <w:tcW w:type="dxa" w:w="190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gesamt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BE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9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15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</w:t>
            </w:r>
          </w:p>
        </w:tc>
      </w:tr>
      <w:tr>
        <w:trPr>
          <w:cantSplit/>
        </w:trPr>
        <w:tc>
          <w:tcPr>
            <w:tcW w:type="dxa" w:w="1905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Anteil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30 %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50 %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20 %</w:t>
            </w:r>
          </w:p>
        </w:tc>
        <w:tc>
          <w:tcPr>
            <w:tcW w:type="dxa" w:w="190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0"/>
              </w:rPr>
              <w:t>100 %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Notenschlüssel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963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</w:tblGrid>
      <w:tr>
        <w:trPr>
          <w:cantSplit/>
          <w:tblHeader/>
        </w:trPr>
        <w:tc>
          <w:tcPr>
            <w:tcW w:type="dxa" w:w="96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Punkte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8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7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5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4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3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2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1</w:t>
            </w:r>
          </w:p>
        </w:tc>
        <w:tc>
          <w:tcPr>
            <w:tcW w:type="dxa" w:w="53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0</w:t>
            </w:r>
          </w:p>
        </w:tc>
      </w:tr>
      <w:tr>
        <w:trPr>
          <w:cantSplit/>
        </w:trPr>
        <w:tc>
          <w:tcPr>
            <w:tcW w:type="dxa" w:w="964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ab BE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23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21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20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18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17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15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14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12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10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9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6</w:t>
            </w:r>
          </w:p>
        </w:tc>
        <w:tc>
          <w:tcPr>
            <w:tcW w:type="dxa" w:w="53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PROBEKLAUSUR eA · KETTENSCHRIFT · EH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