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</w:rPr>
      </w:pPr>
      <w:bookmarkStart w:colFirst="0" w:colLast="0" w:name="_heading=h.fuuxw87etzty" w:id="0"/>
      <w:bookmarkEnd w:id="0"/>
      <w:r>
        <w:rPr>
          <w:rFonts w:ascii="Hiragino Sans GB" w:hAnsi="Hiragino Sans GB" w:eastAsia="Hiragino Sans GB" w:cs="Hiragino Sans GB"/>
          <w:color w:val="1a703a"/>
          <w:rtl w:val="0"/>
        </w:rPr>
        <w:t xml:space="preserve">实验分析报告</w:t>
      </w:r>
    </w:p>
    <w:p w14:paraId="00000002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3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4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16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6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7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Hiragino Sans GB" w:cs="Hiragino Sans GB" w:eastAsia="Hiragino Sans GB" w:hAnsi="Hiragino Sans GB"/>
          <w:color w:val="1a703a"/>
          <w:rtl w:val="0"/>
        </w:rPr>
        <w:t xml:space="preserve">邮件垃圾信息 AI 识别</w:t>
      </w:r>
    </w:p>
    <w:p w14:paraId="00000008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Hiragino Sans GB" w:cs="Hiragino Sans GB" w:eastAsia="Hiragino Sans GB" w:hAnsi="Hiragino Sans GB"/>
          <w:color w:val="1a703a"/>
          <w:rtl w:val="0"/>
        </w:rPr>
        <w:t xml:space="preserve">方案试点效果分析</w:t>
      </w:r>
    </w:p>
    <w:p w14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tl w:val="0"/>
        </w:rPr>
      </w:r>
    </w:p>
    <w:p w14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tl w:val="0"/>
        </w:rPr>
      </w:r>
    </w:p>
    <w:p w14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tl w:val="0"/>
        </w:rPr>
      </w:r>
    </w:p>
    <w:p w14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tl w:val="0"/>
        </w:rPr>
      </w:r>
    </w:p>
    <w:p w14:paraId="0000000D">
      <w:pPr>
        <w:rPr>
          <w:color w:val="002715"/>
        </w:rPr>
      </w:pPr>
      <w:r>
        <w:rPr>
          <w:rtl w:val="0"/>
        </w:rPr>
      </w:r>
    </w:p>
    <w:p w14:paraId="0000000E">
      <w:pPr>
        <w:rPr>
          <w:color w:val="002715"/>
        </w:rPr>
      </w:pPr>
      <w:r>
        <w:rPr>
          <w:rtl w:val="0"/>
        </w:rPr>
      </w:r>
    </w:p>
    <w:p w14:paraId="0000000F">
      <w:pPr>
        <w:rPr>
          <w:color w:val="002715"/>
        </w:rPr>
      </w:pPr>
      <w:r>
        <w:rPr>
          <w:rtl w:val="0"/>
        </w:rPr>
      </w:r>
    </w:p>
    <w:p w14:paraId="00000010">
      <w:pPr>
        <w:rPr>
          <w:color w:val="002715"/>
        </w:rPr>
      </w:pPr>
      <w:r>
        <w:rPr>
          <w:rtl w:val="0"/>
        </w:rPr>
      </w:r>
    </w:p>
    <w:p w14:paraId="00000011">
      <w:pPr>
        <w:rPr>
          <w:color w:val="002715"/>
        </w:rPr>
      </w:pPr>
      <w:r>
        <w:rPr>
          <w:rtl w:val="0"/>
        </w:rPr>
      </w:r>
    </w:p>
    <w:p w14:paraId="00000012">
      <w:pPr>
        <w:rPr>
          <w:color w:val="002715"/>
        </w:rPr>
      </w:pPr>
      <w:r>
        <w:rPr>
          <w:rtl w:val="0"/>
        </w:rPr>
      </w:r>
    </w:p>
    <w:p w14:paraId="00000013">
      <w:pPr>
        <w:rPr>
          <w:color w:val="002715"/>
        </w:rPr>
      </w:pPr>
      <w:r>
        <w:rPr>
          <w:rtl w:val="0"/>
        </w:rPr>
      </w:r>
    </w:p>
    <w:p w14:paraId="00000014">
      <w:pPr>
        <w:rPr>
          <w:color w:val="002715"/>
        </w:rPr>
      </w:pPr>
      <w:r>
        <w:rPr>
          <w:rtl w:val="0"/>
        </w:rPr>
      </w:r>
    </w:p>
    <w:p w14:paraId="00000015">
      <w:pPr>
        <w:rPr>
          <w:color w:val="002715"/>
        </w:rPr>
      </w:pPr>
      <w:r>
        <w:rPr>
          <w:rtl w:val="0"/>
        </w:rPr>
      </w:r>
    </w:p>
    <w:p w14:paraId="00000016">
      <w:pPr>
        <w:rPr>
          <w:color w:val="002715"/>
        </w:rPr>
      </w:pPr>
      <w:r>
        <w:rPr>
          <w:rtl w:val="0"/>
        </w:rPr>
      </w:r>
    </w:p>
    <w:p w14:paraId="00000017">
      <w:pPr>
        <w:rPr>
          <w:color w:val="434343"/>
        </w:rPr>
      </w:pPr>
      <w:r>
        <w:rPr>
          <w:rtl w:val="0"/>
        </w:rPr>
      </w:r>
    </w:p>
    <w:p w14:paraId="00000018">
      <w:pPr>
        <w:pStyle w:val="Heading3"/>
        <w:rPr>
          <w:color w:val="000000"/>
        </w:rPr>
      </w:pPr>
      <w:bookmarkStart w:colFirst="0" w:colLast="0" w:name="_heading=h.a28c2t63c20t" w:id="5"/>
      <w:bookmarkEnd w:id="5"/>
      <w:r>
        <w:rPr>
          <w:rFonts w:ascii="Hiragino Sans GB" w:hAnsi="Hiragino Sans GB" w:eastAsia="Hiragino Sans GB" w:cs="Hiragino Sans GB"/>
          <w:color w:val="000000"/>
          <w:rtl w:val="0"/>
        </w:rPr>
        <w:t xml:space="preserve">编制方：待确认</w:t>
      </w:r>
    </w:p>
    <w:p w14:paraId="00000019">
      <w:pPr>
        <w:pStyle w:val="Heading3"/>
        <w:rPr>
          <w:color w:val="000000"/>
        </w:rPr>
      </w:pPr>
      <w:bookmarkStart w:colFirst="0" w:colLast="0" w:name="_heading=h.io4lnv62zpnv" w:id="6"/>
      <w:bookmarkEnd w:id="6"/>
      <w:r>
        <w:rPr>
          <w:rFonts w:ascii="Hiragino Sans GB" w:hAnsi="Hiragino Sans GB" w:eastAsia="Hiragino Sans GB" w:cs="Hiragino Sans GB"/>
          <w:color w:val="000000"/>
          <w:rtl w:val="0"/>
        </w:rPr>
        <w:t xml:space="preserve">2026年7月17日</w:t>
      </w:r>
    </w:p>
    <w:p w14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br w:type="page"/>
      </w:r>
      <w:r>
        <w:rPr>
          <w:rtl w:val="0"/>
        </w:rPr>
      </w:r>
    </w:p>
    <w:p w14:paraId="0000001B">
      <w:pPr>
        <w:pStyle w:val="Heading1"/>
        <w:rPr/>
      </w:pPr>
      <w:r>
        <w:rPr>
          <w:rFonts w:ascii="Hiragino Sans GB" w:hAnsi="Hiragino Sans GB" w:eastAsia="Hiragino Sans GB" w:cs="Hiragino Sans GB"/>
          <w:rtl w:val="0"/>
        </w:rPr>
        <w:t xml:space="preserve">文档控制</w:t>
      </w:r>
    </w:p>
    <w:p w14:paraId="0000001C">
      <w:pPr>
        <w:rPr/>
      </w:pPr>
      <w:r>
        <w:rPr>
          <w:rtl w:val="0"/>
        </w:rPr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版本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Hiragino Sans GB" w:hAnsi="Georgia"/>
                <w:sz w:val="20"/>
                <w:szCs w:val="20"/>
                <w:rtl w:val="0"/>
              </w:rPr>
              <w:t xml:space="preserve">v0.1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1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编制方</w:t>
            </w:r>
          </w:p>
        </w:tc>
        <w:tc>
          <w:tcPr>
            <w:vAlign w:val="center"/>
          </w:tcPr>
          <w:p w14:paraId="0000002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待确认（建议：信息安全与邮件运营联合小组）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评审方</w:t>
            </w:r>
          </w:p>
        </w:tc>
        <w:tc>
          <w:tcPr>
            <w:vAlign w:val="center"/>
          </w:tcPr>
          <w:p w14:paraId="0000002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待确认（邮件管理员、信息安全、隐私/合规、业务代表）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编制日期</w:t>
            </w:r>
          </w:p>
        </w:tc>
        <w:tc>
          <w:tcPr>
            <w:vAlign w:val="center"/>
          </w:tcPr>
          <w:p w14:paraId="0000002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Hiragino Sans GB" w:hAnsi="Georgia"/>
                <w:sz w:val="20"/>
                <w:szCs w:val="20"/>
                <w:rtl w:val="0"/>
              </w:rPr>
              <w:t xml:space="preserve">2026-07-17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报告周期</w:t>
            </w:r>
          </w:p>
        </w:tc>
        <w:tc>
          <w:tcPr>
            <w:vAlign w:val="center"/>
          </w:tcPr>
          <w:p w14:paraId="0000002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待试点启动后填写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状态</w:t>
            </w:r>
          </w:p>
        </w:tc>
        <w:tc>
          <w:tcPr>
            <w:vAlign w:val="center"/>
          </w:tcPr>
          <w:p w14:paraId="0000002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试点前分析方案（草案）</w:t>
            </w:r>
          </w:p>
        </w:tc>
      </w:tr>
    </w:tbl>
    <w:p w14:paraId="00000029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2A">
      <w:pPr>
        <w:pStyle w:val="Heading1"/>
        <w:rPr/>
      </w:pPr>
      <w:r>
        <w:rPr>
          <w:rFonts w:ascii="Hiragino Sans GB" w:hAnsi="Hiragino Sans GB" w:eastAsia="Hiragino Sans GB" w:cs="Hiragino Sans GB"/>
          <w:rtl w:val="0"/>
        </w:rPr>
        <w:t xml:space="preserve">文档目的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本文档用于定义并记录公司在 Microsoft 365 邮件环境中开展的“公共邮箱来信 AI 辅助识别”试点，包括目标、范围、执行方法、评价指标、结果填写要求以及后续决策门槛。试点对象是来自126、新浪、QQ、Gmail、Outlook等公共邮件服务商、投递给公司内部收件人的外部邮件。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本文档供邮件管理员、信息安全、隐私与合规、业务代表及项目负责人共同使用。它将统一样本口径、人工标注规则和放行标准，为审计、复现、模型迭代及是否进入自动隔离阶段提供可追溯依据。</w:t>
      </w:r>
    </w:p>
    <w:p w14:paraId="0000002D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2E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业务背景</w:t>
      </w:r>
    </w:p>
    <w:p w14:paraId="0000002F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公司当前使用 Office 365。已观察到来自126、新浪等公共邮箱服务的发件人向多名内部员工发送垃圾邮件。现有反垃圾邮件策略能够处理部分威胁，但仍有漏检，且攻击者可能频繁更换具体账号，因此仅维护静态阻止名单难以覆盖全部变体。当前证据为已报告事件和管理员观察；基线邮件量、漏检率及误报率尚未提供，需在试点中建立。</w:t>
      </w:r>
    </w:p>
    <w:p w14:paraId="00000030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公共邮箱域本身并不代表恶意，直接封禁整个域会误伤候选人、客户和供应商。试点选择在现有 EOP/Defender 之后增加受控的 AI 二次判别，以利用邮件头、认证结果、收件人范围、正文、链接和历史相似度等信号。首阶段采用旁路评估，不改变原始投递，可随时停用；原有反病毒、反钓鱼和附件检测保持不变。</w:t>
      </w:r>
    </w:p>
    <w:p w14:paraId="00000031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试点概览</w:t>
      </w:r>
    </w:p>
    <w:p w14:paraId="00000032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字段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内容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试点名称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邮件垃圾信息 AI 识别方案试点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试点编号</w:t>
            </w:r>
          </w:p>
        </w:tc>
        <w:tc>
          <w:tcPr>
            <w:vAlign w:val="center"/>
          </w:tcPr>
          <w:p w14:paraId="0000003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Hiragino Sans GB" w:hAnsi="Georgia"/>
                <w:sz w:val="20"/>
                <w:szCs w:val="20"/>
                <w:rtl w:val="0"/>
              </w:rPr>
              <w:t xml:space="preserve">MAIL-AI-PILOT-001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牵头团队</w:t>
            </w:r>
          </w:p>
        </w:tc>
        <w:tc>
          <w:tcPr>
            <w:vAlign w:val="center"/>
          </w:tcPr>
          <w:p w14:paraId="0000003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待确认（建议：信息安全与邮件运营）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业务负责人</w:t>
            </w:r>
          </w:p>
        </w:tc>
        <w:tc>
          <w:tcPr>
            <w:vAlign w:val="center"/>
          </w:tcPr>
          <w:p w14:paraId="0000003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待确认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系统范围</w:t>
            </w:r>
          </w:p>
        </w:tc>
        <w:tc>
          <w:tcPr>
            <w:vAlign w:val="center"/>
          </w:tcPr>
          <w:p w14:paraId="0000003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Exchange Online 入站邮件流、EOP/Defender、受控 AI 分析队列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主要目标</w:t>
            </w:r>
          </w:p>
        </w:tc>
        <w:tc>
          <w:tcPr>
            <w:vAlign w:val="center"/>
          </w:tcPr>
          <w:p w14:paraId="0000004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验证 AI 二次判别能否提升公共邮箱垃圾邮件识别效果，并控制误报、时延和隐私风险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对照方案（A）</w:t>
            </w:r>
          </w:p>
        </w:tc>
        <w:tc>
          <w:tcPr>
            <w:vAlign w:val="center"/>
          </w:tcPr>
          <w:p w14:paraId="0000004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现有 EOP/Defender、反垃圾策略、邮件流规则及阻止名单，不使用 AI 判定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处理方案（B）</w:t>
            </w:r>
          </w:p>
        </w:tc>
        <w:tc>
          <w:tcPr>
            <w:vAlign w:val="center"/>
          </w:tcPr>
          <w:p w14:paraId="0000004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在旁路队列中对相同邮件增加 AI 风险评分、原因和建议动作，首阶段不改变投递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分配方式</w:t>
            </w:r>
          </w:p>
        </w:tc>
        <w:tc>
          <w:tcPr>
            <w:vAlign w:val="center"/>
          </w:tcPr>
          <w:p w14:paraId="0000004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配对评估：每封符合条件的唯一邮件均由 A、B 两种方法评分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分析单元</w:t>
            </w:r>
          </w:p>
        </w:tc>
        <w:tc>
          <w:tcPr>
            <w:vAlign w:val="center"/>
          </w:tcPr>
          <w:p w14:paraId="0000004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唯一邮件（Network Message ID），跨多个内部收件人去重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覆盖对象</w:t>
            </w:r>
          </w:p>
        </w:tc>
        <w:tc>
          <w:tcPr>
            <w:vAlign w:val="center"/>
          </w:tcPr>
          <w:p w14:paraId="0000004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来自公共邮箱域清单、发往试点用户组的外部邮件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排除项</w:t>
            </w:r>
          </w:p>
        </w:tc>
        <w:tc>
          <w:tcPr>
            <w:vAlign w:val="center"/>
          </w:tcPr>
          <w:p w14:paraId="0000004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内部邮件、可信白名单、系统通知、无法合规处理的加密内容及测试邮件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开始日期</w:t>
            </w:r>
          </w:p>
        </w:tc>
        <w:tc>
          <w:tcPr>
            <w:vAlign w:val="center"/>
          </w:tcPr>
          <w:p w14:paraId="0000004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待确认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结束日期</w:t>
            </w:r>
          </w:p>
        </w:tc>
        <w:tc>
          <w:tcPr>
            <w:vAlign w:val="center"/>
          </w:tcPr>
          <w:p w14:paraId="0000005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待确认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5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计划周期</w:t>
            </w:r>
          </w:p>
        </w:tc>
        <w:tc>
          <w:tcPr>
            <w:vAlign w:val="center"/>
          </w:tcPr>
          <w:p w14:paraId="0000005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建议4周：2周基线收集 + 2周稳定性验证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5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实际周期</w:t>
            </w:r>
          </w:p>
        </w:tc>
        <w:tc>
          <w:tcPr>
            <w:vAlign w:val="center"/>
          </w:tcPr>
          <w:p w14:paraId="0000005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待试点完成后填写</w:t>
            </w:r>
          </w:p>
        </w:tc>
      </w:tr>
    </w:tbl>
    <w:p w14:paraId="00000055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56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试点设计说明</w:t>
      </w:r>
    </w:p>
    <w:p w14:paraId="00000057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采用配对旁路评估：每封符合范围的唯一邮件同时保留现有系统判定和 AI 判定，再由双人复核形成参考标签。唯一变化是增加 AI 风险评分与建议动作；现有 EOP/Defender、邮件流规则、租户阻止名单和用户投递流程均保持不变。由于同一邮件由两种方法共同评分，结果可直接比较召回率、误报率和处理时延。</w:t>
      </w:r>
    </w:p>
    <w:p w14:paraId="00000058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以 Network Message ID 去重，将同一封群发邮件视为一个分析单元，同时保留内部收件人数作为特征。纳入来自维护清单中公共邮箱域、发往试点用户组的外部邮件；排除内部邮件、可信合作方白名单、系统通知、无法依法处理的加密内容以及超过连接器处理限制的邮件。建议运行4周，先收集2周基线，再完成2周稳定性验证。</w:t>
      </w:r>
    </w:p>
    <w:p w14:paraId="00000059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5A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试点假设</w:t>
      </w:r>
    </w:p>
    <w:p w14:paraId="0000005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如果在现有 EOP/Defender 判定基础上，对试点用户收到的公共邮箱来信增加 AI 二次评分，并结合发件认证、群发范围、正文、链接及历史相似度，那么相较仅使用现有规则，已确认垃圾邮件的召回率和综合 F1 应提高，同时正常邮件误报率维持在可接受范围内，因为 AI 能够识别跨账号重复、语义诱导和多信号组合模式。</w:t>
      </w:r>
    </w:p>
    <w:p w14:paraId="0000005C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5D">
      <w:pPr>
        <w:pStyle w:val="Heading1"/>
        <w:rPr>
          <w:rFonts w:ascii="Georgia" w:cs="Georgia" w:eastAsia="Georgia" w:hAnsi="Georgia"/>
        </w:rPr>
        <w:pageBreakBefore/>
      </w:pPr>
      <w:r>
        <w:rPr>
          <w:rFonts w:ascii="Hiragino Sans GB" w:cs="Hiragino Sans GB" w:eastAsia="Hiragino Sans GB" w:hAnsi="Hiragino Sans GB"/>
          <w:rtl w:val="0"/>
        </w:rPr>
        <w:t xml:space="preserve">成功标准</w:t>
      </w:r>
    </w:p>
    <w:p w14:paraId="0000005E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主要成功指标为已确认垃圾邮件召回率相对现有方案提升。以下阈值均为试点建议值，须由业务和安全负责人批准后冻结。只有主要指标达到门槛，且误报率、处理时延、未处理率和隐私合规护栏全部通过，才可进入小范围自动隔离；否则继续旁路优化或终止试点。</w:t>
      </w:r>
    </w:p>
    <w:tbl>
      <w:tblPr>
        <w:tblStyle w:val="Table3"/>
        <w:tblW w:w="935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5F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指标</w:t>
            </w:r>
          </w:p>
        </w:tc>
        <w:tc>
          <w:tcPr>
            <w:shd w:fill="f3f3f3" w:val="clear"/>
            <w:vAlign w:val="center"/>
          </w:tcPr>
          <w:p w14:paraId="00000060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建议目标/规则（试点前需批准）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1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主要指标</w:t>
            </w:r>
          </w:p>
        </w:tc>
        <w:tc>
          <w:tcPr>
            <w:vAlign w:val="center"/>
          </w:tcPr>
          <w:p w14:paraId="00000062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垃圾邮件召回率较现有方案提升不少于10个百分点，且95%置信区间下限大于0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3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护栏1</w:t>
            </w:r>
          </w:p>
        </w:tc>
        <w:tc>
          <w:tcPr>
            <w:vAlign w:val="center"/>
          </w:tcPr>
          <w:p w14:paraId="00000064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正常邮件误报率不高于0.5%，且不得自动阻断业务关键正常邮件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5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护栏2</w:t>
            </w:r>
          </w:p>
        </w:tc>
        <w:tc>
          <w:tcPr>
            <w:vAlign w:val="center"/>
          </w:tcPr>
          <w:p w14:paraId="00000066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AI端到端处理时延 P95 不高于60秒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7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护栏3</w:t>
            </w:r>
          </w:p>
        </w:tc>
        <w:tc>
          <w:tcPr>
            <w:vAlign w:val="center"/>
          </w:tcPr>
          <w:p w14:paraId="00000068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未处理率不高于0.1%，故障时默认回退现有邮件策略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9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决策规则</w:t>
            </w:r>
          </w:p>
        </w:tc>
        <w:tc>
          <w:tcPr>
            <w:vAlign w:val="center"/>
          </w:tcPr>
          <w:p w14:paraId="0000006A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主要指标达标且全部护栏通过，方可进入小范围人工审批；自动隔离需另行批准</w:t>
            </w:r>
          </w:p>
        </w:tc>
      </w:tr>
    </w:tbl>
    <w:p w14:paraId="0000006B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6C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上线前验证</w:t>
      </w:r>
    </w:p>
    <w:p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确认对照与处理结果仅相差 AI 二次评分及建议动作，原有安全策略与样本范围一致。</w:t>
      </w:r>
      <w:r>
        <w:rPr>
          <w:rtl w:val="0"/>
        </w:rPr>
      </w:r>
    </w:p>
    <w:p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确认以唯一邮件为分析单元，并按 Network Message ID 去重；同一邮件的所有收件人记录保持一致。</w:t>
      </w:r>
      <w:r>
        <w:rPr>
          <w:rtl w:val="0"/>
        </w:rPr>
      </w:r>
    </w:p>
    <w:p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验证邮件采集、EOP/Defender 判定、AI结果、人工标签、处理时延及异常状态均可关联和审计。</w:t>
      </w:r>
      <w:r>
        <w:rPr>
          <w:rtl w:val="0"/>
        </w:rPr>
      </w:r>
    </w:p>
    <w:p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冻结公共邮箱域清单、可信地址例外、系统邮件例外、加密邮件处理方式及测试数据排除规则。</w:t>
      </w:r>
      <w:r>
        <w:rPr>
          <w:rtl w:val="0"/>
        </w:rPr>
      </w:r>
    </w:p>
    <w:p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完成离线样本回放、提示词注入测试、权限最小化检查、敏感数据留存检查及故障降级演练；结果待上线前填写。</w:t>
      </w:r>
      <w:r>
        <w:rPr>
          <w:rtl w:val="0"/>
        </w:rPr>
      </w:r>
    </w:p>
    <w:p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right="0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73">
      <w:pPr>
        <w:pStyle w:val="Heading1"/>
        <w:rPr>
          <w:rFonts w:ascii="Georgia" w:cs="Georgia" w:eastAsia="Georgia" w:hAnsi="Georgia"/>
        </w:rPr>
        <w:pageBreakBefore/>
      </w:pPr>
      <w:r>
        <w:rPr>
          <w:rFonts w:ascii="Hiragino Sans GB" w:cs="Hiragino Sans GB" w:eastAsia="Hiragino Sans GB" w:hAnsi="Hiragino Sans GB"/>
          <w:rtl w:val="0"/>
        </w:rPr>
        <w:t xml:space="preserve">样本与覆盖概览</w:t>
      </w:r>
    </w:p>
    <w:p w14:paraId="00000074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当前尚未启动试点，因此没有可用于效果结论的样本量、运行时长或标签分布。试点结束后应报告唯一邮件数、公共邮箱域分布、垃圾与正常样本数、无法解析比例及标注一致率；在最低有效样本和数据质量门槛达成前，不得宣布方案有效。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样本指标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对照方案（A）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AI方案（B）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符合条件的唯一邮件数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与A相同的配对样本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人工确认垃圾邮件数</w:t>
            </w:r>
          </w:p>
        </w:tc>
        <w:tc>
          <w:tcPr>
            <w:vAlign w:val="center"/>
          </w:tcPr>
          <w:p w14:paraId="0000007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7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与A相同的参考标签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人工确认正常邮件数</w:t>
            </w:r>
          </w:p>
        </w:tc>
        <w:tc>
          <w:tcPr>
            <w:vAlign w:val="center"/>
          </w:tcPr>
          <w:p w14:paraId="0000007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8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与A相同的参考标签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有效判定覆盖率</w:t>
            </w:r>
          </w:p>
        </w:tc>
        <w:tc>
          <w:tcPr>
            <w:vAlign w:val="center"/>
          </w:tcPr>
          <w:p w14:paraId="0000008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8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样本一致性检查</w:t>
            </w:r>
          </w:p>
        </w:tc>
        <w:tc>
          <w:tcPr>
            <w:vAlign w:val="center"/>
          </w:tcPr>
          <w:p w14:paraId="0000008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8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</w:tr>
    </w:tbl>
    <w:p w14:paraId="00000087">
      <w:pPr>
        <w:spacing w:after="240" w:before="240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88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主要结果</w:t>
      </w:r>
    </w:p>
    <w:p w14:paraId="00000089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5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8A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度量</w:t>
            </w:r>
          </w:p>
        </w:tc>
        <w:tc>
          <w:tcPr>
            <w:shd w:fill="f3f3f3" w:val="clear"/>
            <w:vAlign w:val="center"/>
          </w:tcPr>
          <w:p w14:paraId="0000008B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对照方案A</w:t>
            </w:r>
          </w:p>
        </w:tc>
        <w:tc>
          <w:tcPr>
            <w:shd w:fill="f3f3f3" w:val="clear"/>
            <w:vAlign w:val="center"/>
          </w:tcPr>
          <w:p w14:paraId="0000008C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AI方案B</w:t>
            </w:r>
          </w:p>
        </w:tc>
        <w:tc>
          <w:tcPr>
            <w:shd w:fill="f3f3f3" w:val="clear"/>
            <w:vAlign w:val="center"/>
          </w:tcPr>
          <w:p w14:paraId="0000008D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绝对差异</w:t>
            </w:r>
          </w:p>
        </w:tc>
        <w:tc>
          <w:tcPr>
            <w:shd w:fill="f3f3f3" w:val="clear"/>
            <w:vAlign w:val="center"/>
          </w:tcPr>
          <w:p w14:paraId="0000008E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相对差异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垃圾邮件召回率</w:t>
            </w:r>
          </w:p>
        </w:tc>
        <w:tc>
          <w:tcPr>
            <w:vAlign w:val="center"/>
          </w:tcPr>
          <w:p w14:paraId="0000009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9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9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  <w:tc>
          <w:tcPr>
            <w:vAlign w:val="center"/>
          </w:tcPr>
          <w:p w14:paraId="0000009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95%置信区间</w:t>
            </w:r>
          </w:p>
        </w:tc>
        <w:tc>
          <w:tcPr>
            <w:vAlign w:val="center"/>
          </w:tcPr>
          <w:p w14:paraId="0000009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  <w:tc>
          <w:tcPr>
            <w:vAlign w:val="center"/>
          </w:tcPr>
          <w:p w14:paraId="0000009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  <w:tc>
          <w:tcPr>
            <w:vAlign w:val="center"/>
          </w:tcPr>
          <w:p w14:paraId="00000097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  <w:tc>
          <w:tcPr>
            <w:vAlign w:val="center"/>
          </w:tcPr>
          <w:p w14:paraId="0000009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不适用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配对检验 p 值</w:t>
            </w:r>
          </w:p>
        </w:tc>
        <w:tc>
          <w:tcPr>
            <w:vAlign w:val="center"/>
          </w:tcPr>
          <w:p w14:paraId="0000009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不适用</w:t>
            </w:r>
          </w:p>
        </w:tc>
        <w:tc>
          <w:tcPr>
            <w:vAlign w:val="center"/>
          </w:tcPr>
          <w:p w14:paraId="0000009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不适用</w:t>
            </w:r>
          </w:p>
        </w:tc>
        <w:tc>
          <w:tcPr>
            <w:vAlign w:val="center"/>
          </w:tcPr>
          <w:p w14:paraId="0000009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  <w:tc>
          <w:tcPr>
            <w:vAlign w:val="center"/>
          </w:tcPr>
          <w:p w14:paraId="0000009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不适用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结果说明</w:t>
            </w:r>
          </w:p>
        </w:tc>
        <w:tc>
          <w:tcPr>
            <w:vAlign w:val="center"/>
          </w:tcPr>
          <w:p w14:paraId="0000009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A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A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需结合误报与实际案例解释</w:t>
            </w:r>
          </w:p>
        </w:tc>
        <w:tc>
          <w:tcPr>
            <w:vAlign w:val="center"/>
          </w:tcPr>
          <w:p w14:paraId="000000A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不适用</w:t>
            </w:r>
          </w:p>
        </w:tc>
      </w:tr>
    </w:tbl>
    <w:p w14:paraId="000000A3">
      <w:pPr>
        <w:spacing w:after="240" w:before="240" w:lineRule="auto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结果待试点完成后填写。目前只能确认分析方法和决策门槛，不能据此声称 AI 已提高垃圾邮件识别效果。最终应同时报告点估计、95%置信区间、配对检验结果和实际误拦截案例。</w:t>
      </w:r>
    </w:p>
    <w:p w14:paraId="000000A4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A5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护栏指标</w:t>
      </w:r>
    </w:p>
    <w:p w14:paraId="000000A6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6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63"/>
        <w:gridCol w:w="1843"/>
        <w:gridCol w:w="1843"/>
        <w:gridCol w:w="1701"/>
        <w:gridCol w:w="1700"/>
        <w:tblGridChange w:id="0">
          <w:tblGrid>
            <w:gridCol w:w="2263"/>
            <w:gridCol w:w="1843"/>
            <w:gridCol w:w="1843"/>
            <w:gridCol w:w="1701"/>
            <w:gridCol w:w="170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A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护栏指标</w:t>
            </w:r>
          </w:p>
        </w:tc>
        <w:tc>
          <w:tcPr>
            <w:shd w:fill="f3f3f3" w:val="clear"/>
            <w:vAlign w:val="center"/>
          </w:tcPr>
          <w:p w14:paraId="000000A8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对照方案A</w:t>
            </w:r>
          </w:p>
        </w:tc>
        <w:tc>
          <w:tcPr>
            <w:shd w:fill="f3f3f3" w:val="clear"/>
            <w:vAlign w:val="center"/>
          </w:tcPr>
          <w:p w14:paraId="000000A9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AI方案B</w:t>
            </w:r>
          </w:p>
        </w:tc>
        <w:tc>
          <w:tcPr>
            <w:shd w:fill="f3f3f3" w:val="clear"/>
            <w:vAlign w:val="center"/>
          </w:tcPr>
          <w:p w14:paraId="000000AA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差异</w:t>
            </w:r>
          </w:p>
        </w:tc>
        <w:tc>
          <w:tcPr>
            <w:shd w:fill="f3f3f3" w:val="clear"/>
            <w:vAlign w:val="center"/>
          </w:tcPr>
          <w:p w14:paraId="000000AB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状态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A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正常邮件误报率</w:t>
            </w:r>
          </w:p>
        </w:tc>
        <w:tc>
          <w:tcPr>
            <w:vAlign w:val="center"/>
          </w:tcPr>
          <w:p w14:paraId="000000A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A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A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  <w:tc>
          <w:tcPr>
            <w:vAlign w:val="center"/>
          </w:tcPr>
          <w:p w14:paraId="000000B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待判定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处理时延 P95</w:t>
            </w:r>
          </w:p>
        </w:tc>
        <w:tc>
          <w:tcPr>
            <w:vAlign w:val="center"/>
          </w:tcPr>
          <w:p w14:paraId="000000B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不适用</w:t>
            </w:r>
          </w:p>
        </w:tc>
        <w:tc>
          <w:tcPr>
            <w:vAlign w:val="center"/>
          </w:tcPr>
          <w:p w14:paraId="000000B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B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不适用</w:t>
            </w:r>
          </w:p>
        </w:tc>
        <w:tc>
          <w:tcPr>
            <w:vAlign w:val="center"/>
          </w:tcPr>
          <w:p w14:paraId="000000B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待判定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未处理率</w:t>
            </w:r>
          </w:p>
        </w:tc>
        <w:tc>
          <w:tcPr>
            <w:vAlign w:val="center"/>
          </w:tcPr>
          <w:p w14:paraId="000000B7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B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B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  <w:tc>
          <w:tcPr>
            <w:vAlign w:val="center"/>
          </w:tcPr>
          <w:p w14:paraId="000000B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待判定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隐私/安全事件数</w:t>
            </w:r>
          </w:p>
        </w:tc>
        <w:tc>
          <w:tcPr>
            <w:vAlign w:val="center"/>
          </w:tcPr>
          <w:p w14:paraId="000000B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B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B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  <w:tc>
          <w:tcPr>
            <w:vAlign w:val="center"/>
          </w:tcPr>
          <w:p w14:paraId="000000B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待判定</w:t>
            </w:r>
          </w:p>
        </w:tc>
      </w:tr>
    </w:tbl>
    <w:p w14:paraId="000000C0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所有护栏结果均待试点数据。任一护栏未通过时，不进入自动拦截；特别是出现业务关键正常邮件被自动阻断、未授权数据外传或模型服务无法安全降级时，应立即停止处理方案并回退到现有邮件策略。</w:t>
      </w:r>
    </w:p>
    <w:p w14:paraId="000000C1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分群结果</w:t>
      </w:r>
    </w:p>
    <w:p w14:paraId="000000C2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预先分析公共邮箱服务商、收件人数、邮件是否含链接或附件、内部收件部门和中文/非中文内容等分群。这些分群用于识别误报集中区域和攻击模式差异。除非每个分群达到预先约定的最小样本量，否则分群结果仅作方向性参考，不作确认性结论。</w:t>
      </w:r>
    </w:p>
    <w:tbl>
      <w:tblPr>
        <w:tblStyle w:val="Table7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C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预设分群</w:t>
            </w:r>
          </w:p>
        </w:tc>
        <w:tc>
          <w:tcPr>
            <w:shd w:fill="f3f3f3" w:val="clear"/>
            <w:vAlign w:val="center"/>
          </w:tcPr>
          <w:p w14:paraId="000000C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对照方案值</w:t>
            </w:r>
          </w:p>
        </w:tc>
        <w:tc>
          <w:tcPr>
            <w:shd w:fill="f3f3f3" w:val="clear"/>
            <w:vAlign w:val="center"/>
          </w:tcPr>
          <w:p w14:paraId="000000C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AI方案值</w:t>
            </w:r>
          </w:p>
        </w:tc>
        <w:tc>
          <w:tcPr>
            <w:shd w:fill="f3f3f3" w:val="clear"/>
            <w:vAlign w:val="center"/>
          </w:tcPr>
          <w:p w14:paraId="000000C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绝对差异</w:t>
            </w:r>
          </w:p>
        </w:tc>
        <w:tc>
          <w:tcPr>
            <w:shd w:fill="f3f3f3" w:val="clear"/>
            <w:vAlign w:val="center"/>
          </w:tcPr>
          <w:p w14:paraId="000000C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解释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C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公共邮箱服务商</w:t>
            </w:r>
          </w:p>
        </w:tc>
        <w:tc>
          <w:tcPr>
            <w:vAlign w:val="center"/>
          </w:tcPr>
          <w:p w14:paraId="000000C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C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C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  <w:tc>
          <w:tcPr>
            <w:vAlign w:val="center"/>
          </w:tcPr>
          <w:p w14:paraId="000000C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比较126/新浪/QQ等，但避免域名污名化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C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内部收件人数</w:t>
            </w:r>
          </w:p>
        </w:tc>
        <w:tc>
          <w:tcPr>
            <w:vAlign w:val="center"/>
          </w:tcPr>
          <w:p w14:paraId="000000C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C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D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  <w:tc>
          <w:tcPr>
            <w:vAlign w:val="center"/>
          </w:tcPr>
          <w:p w14:paraId="000000D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关注单人来信与多人群发差异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2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含链接/不含链接</w:t>
            </w:r>
          </w:p>
        </w:tc>
        <w:tc>
          <w:tcPr>
            <w:vAlign w:val="center"/>
          </w:tcPr>
          <w:p w14:paraId="000000D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D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D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  <w:tc>
          <w:tcPr>
            <w:vAlign w:val="center"/>
          </w:tcPr>
          <w:p w14:paraId="000000D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验证URL与跳转信号增量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含附件/不含附件</w:t>
            </w:r>
          </w:p>
        </w:tc>
        <w:tc>
          <w:tcPr>
            <w:vAlign w:val="center"/>
          </w:tcPr>
          <w:p w14:paraId="000000D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D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D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  <w:tc>
          <w:tcPr>
            <w:vAlign w:val="center"/>
          </w:tcPr>
          <w:p w14:paraId="000000D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AI不替代附件恶意检测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中文/非中文内容</w:t>
            </w:r>
          </w:p>
        </w:tc>
        <w:tc>
          <w:tcPr>
            <w:vAlign w:val="center"/>
          </w:tcPr>
          <w:p w14:paraId="000000D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D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待试点</w:t>
            </w:r>
          </w:p>
        </w:tc>
        <w:tc>
          <w:tcPr>
            <w:vAlign w:val="center"/>
          </w:tcPr>
          <w:p w14:paraId="000000D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待计算</w:t>
            </w:r>
          </w:p>
        </w:tc>
        <w:tc>
          <w:tcPr>
            <w:vAlign w:val="center"/>
          </w:tcPr>
          <w:p w14:paraId="000000E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检查语言差异与模型偏差</w:t>
            </w:r>
          </w:p>
        </w:tc>
      </w:tr>
    </w:tbl>
    <w:p w14:paraId="000000E1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E2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分群结果待试点完成后填写。分析时需报告各分群样本量，并控制多重比较带来的偶然差异；不得只展示表现最好的服务商或部门。</w:t>
      </w:r>
    </w:p>
    <w:p w14:paraId="000000E3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E4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数据质量与局限</w:t>
      </w:r>
    </w:p>
    <w:p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同期若调整 O365 反垃圾策略、租户阻止名单、邮件流规则或公共邮箱域清单，必须记录时间与影响范围。</w:t>
      </w:r>
      <w:r>
        <w:rPr>
          <w:rtl w:val="0"/>
        </w:rPr>
      </w:r>
    </w:p>
    <w:p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促销季、招聘季、供应商通知和安全事件可能改变公共邮箱正常/垃圾邮件比例；试点期间须每日记录流量结构变化。</w:t>
      </w:r>
      <w:r>
        <w:rPr>
          <w:rtl w:val="0"/>
        </w:rPr>
      </w:r>
    </w:p>
    <w:p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Graph/Logic Apps 通知可能延迟、丢失或重复；需通过幂等键、重试、生命周期通知和每日对账识别缺口。实际故障及修复情况待记录。</w:t>
      </w:r>
      <w:r>
        <w:rPr>
          <w:rtl w:val="0"/>
        </w:rPr>
      </w:r>
    </w:p>
    <w:p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本试点仅覆盖公司 O365 租户、指定试点用户和已列入清单的公共邮箱域；结果不自动适用于所有外部域、其他邮件平台或未来攻击类型。</w:t>
      </w:r>
      <w:r>
        <w:rPr>
          <w:rtl w:val="0"/>
        </w:rPr>
      </w:r>
    </w:p>
    <w:p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AI可能受到提示词注入、模型漂移、语言差异和附件不可见影响；邮件正文可能含个人信息与商业秘密，必须执行最小权限、最短留存、加密、访问审计和区域合规要求。</w:t>
      </w:r>
      <w:r>
        <w:rPr>
          <w:rtl w:val="0"/>
        </w:rPr>
      </w:r>
    </w:p>
    <w:p w14:paraId="000000EA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因此首阶段建议仅旁路评分并由人工复核，不让模型直接删除邮件。即使试点成功，也只能支持对已验证范围进行分阶段上线，不能证明能够识别所有未知垃圾邮件或钓鱼风险。</w:t>
      </w:r>
    </w:p>
    <w:p w14:paraId="000000E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EC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结果解释</w:t>
      </w:r>
    </w:p>
    <w:p w14:paraId="000000ED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当前无观测结果，无法验证假设。试点结束后，应将召回率变化与误报、处理时延及分群一致性共同解释；统计显著但业务收益很小，或总体提升由单一服务商驱动，都不足以支持全面上线。</w:t>
      </w:r>
    </w:p>
    <w:p w14:paraId="000000EE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当前建议是批准受控旁路试点，而不是直接自动拦截。预期收益是更早识别跨账号群发和语义型垃圾邮件；主要成本包括模型调用、日志存储、人工标注和运营维护。方案可通过停用规则快速回退，但数据隐私、误报和持续运维仍需在试点中验证。</w:t>
      </w:r>
    </w:p>
    <w:p w14:paraId="000000EF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F0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决策记录</w:t>
      </w:r>
    </w:p>
    <w:p w14:paraId="000000F1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8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F2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事项</w:t>
            </w:r>
          </w:p>
        </w:tc>
        <w:tc>
          <w:tcPr>
            <w:shd w:fill="f3f3f3" w:val="clear"/>
            <w:vAlign w:val="center"/>
          </w:tcPr>
          <w:p w14:paraId="000000F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决策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当前建议</w:t>
            </w:r>
          </w:p>
        </w:tc>
        <w:tc>
          <w:tcPr>
            <w:vAlign w:val="center"/>
          </w:tcPr>
          <w:p w14:paraId="000000F5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进入受控旁路试点；尚未批准自动隔离或删除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决策日期</w:t>
            </w:r>
          </w:p>
        </w:tc>
        <w:tc>
          <w:tcPr>
            <w:vAlign w:val="center"/>
          </w:tcPr>
          <w:p w14:paraId="000000F7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待正式批准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批准角色</w:t>
            </w:r>
          </w:p>
        </w:tc>
        <w:tc>
          <w:tcPr>
            <w:vAlign w:val="center"/>
          </w:tcPr>
          <w:p w14:paraId="000000F9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待确认：邮件管理员、信息安全、隐私/合规、业务负责人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A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上线方式</w:t>
            </w:r>
          </w:p>
        </w:tc>
        <w:tc>
          <w:tcPr>
            <w:vAlign w:val="center"/>
          </w:tcPr>
          <w:p w14:paraId="000000FB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旁路评分 → 人工复核 → 小范围审批 → 另行评估自动隔离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回退触发</w:t>
            </w:r>
          </w:p>
        </w:tc>
        <w:tc>
          <w:tcPr>
            <w:vAlign w:val="center"/>
          </w:tcPr>
          <w:p w14:paraId="000000FD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误报超阈值、关键正常邮件受阻、数据泄露、审计缺口或服务无法安全降级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b w:val="1"/>
                <w:bCs w:val="1"/>
                <w:sz w:val="20"/>
                <w:szCs w:val="20"/>
                <w:rtl w:val="0"/>
              </w:rPr>
              <w:t xml:space="preserve">后续验证</w:t>
            </w:r>
          </w:p>
        </w:tc>
        <w:tc>
          <w:tcPr>
            <w:vAlign w:val="center"/>
          </w:tcPr>
          <w:p w14:paraId="000000FF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Hiragino Sans GB" w:cs="Hiragino Sans GB" w:eastAsia="Hiragino Sans GB" w:hAnsi="Hiragino Sans GB"/>
                <w:sz w:val="20"/>
                <w:szCs w:val="20"/>
                <w:rtl w:val="0"/>
              </w:rPr>
              <w:t xml:space="preserve">完成4周试点、双人标注、每日对账、指标复算与最终评审</w:t>
            </w:r>
          </w:p>
        </w:tc>
      </w:tr>
    </w:tbl>
    <w:p w14:paraId="00000100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101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试点后行动</w:t>
      </w:r>
    </w:p>
    <w:p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先完成权限、域清单、白名单和留存策略评审；随后启用旁路采集与 AI 评分；达到门槛后再对小范围用户启用人工审批，最后才评估自动隔离。</w:t>
      </w:r>
      <w:r>
        <w:rPr>
          <w:rtl w:val="0"/>
        </w:rPr>
      </w:r>
    </w:p>
    <w:p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每日监控邮件量、错误率、处理时延和高风险告警；每周复核混淆矩阵及误报案例；进入自动隔离后至少连续监控4周。</w:t>
      </w:r>
      <w:r>
        <w:rPr>
          <w:rtl w:val="0"/>
        </w:rPr>
      </w:r>
    </w:p>
    <w:p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分别验证含链接、含附件、多人群发和领导冒充场景；对不同公共邮箱服务商及不同业务部门进行复测。</w:t>
      </w:r>
      <w:r>
        <w:rPr>
          <w:rtl w:val="0"/>
        </w:rPr>
      </w:r>
    </w:p>
    <w:p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评估基于历史通信关系、URL信誉、发件认证与相似邮件聚类的增量价值，并比较规则模型与大模型的成本效果。</w:t>
      </w:r>
      <w:r>
        <w:rPr>
          <w:rtl w:val="0"/>
        </w:rPr>
      </w:r>
    </w:p>
    <w:p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归档版本化提示词、模型版本、规则配置、标注规范、去标识化样本摘要和决策记录；明确邮件运营与信息安全的长期责任人。</w:t>
      </w:r>
      <w:r>
        <w:rPr>
          <w:rtl w:val="0"/>
        </w:rPr>
      </w:r>
    </w:p>
    <w:p w14:paraId="00000107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108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附录A：指标定义</w:t>
      </w:r>
    </w:p>
    <w:p w14:paraId="000001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502" w:right="0" w:hanging="360"/>
        <w:jc w:val="both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垃圾邮件召回率：AI判为垃圾且人工确认的唯一邮件数 ÷ 人工确认垃圾邮件总数；按冻结的纳入范围计算。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正常邮件误报率：AI判为垃圾但人工确认正常的唯一邮件数 ÷ 人工确认正常邮件总数。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F1分数：垃圾邮件类别精确率与召回率的调和平均数，用于平衡漏报和误报。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端到端处理时延：从分析队列收到邮件到生成结构化判定的时间；报告中位数、P95和P99。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w14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02" w:right="0" w:hanging="360"/>
        <w:jc w:val="both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未处理率：因超时、格式、权限或服务故障未生成有效判定的唯一邮件数 ÷ 符合条件的唯一邮件总数。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w14:paraId="0000010E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10F">
      <w:pPr>
        <w:pStyle w:val="Heading1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rtl w:val="0"/>
        </w:rPr>
        <w:t xml:space="preserve">附录B：分析说明</w:t>
      </w:r>
    </w:p>
    <w:p w14:paraId="000001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计划使用配对混淆矩阵比较现有判定与 AI 判定；召回率和误报率报告95%置信区间，配对差异可使用 McNemar 检验或配对自助法。实际查询、代码、模型与提示词版本待试点冻结后记录。</w:t>
      </w:r>
      <w:r>
        <w:rPr>
          <w:rtl w:val="0"/>
        </w:rPr>
      </w:r>
    </w:p>
    <w:p w14:paraId="000001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建议停止条件：发现未授权数据外传；发生业务关键正常邮件自动阻断；正常邮件误报率超过1%；连续30分钟无法安全降级；或审计日志出现无法弥补的缺口。任何中期读取和计划偏差必须登记。</w:t>
      </w:r>
      <w:r>
        <w:rPr>
          <w:rtl w:val="0"/>
        </w:rPr>
      </w:r>
    </w:p>
    <w:p w14:paraId="000001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每日以 Exchange 邮件跟踪记录与分析队列按 Network Message ID 对账；重复通知必须去重，漏数须标记并说明是否补采。双人标签冲突由第三方复核。最终签字人待确认。</w:t>
      </w:r>
      <w:r>
        <w:rPr>
          <w:rtl w:val="0"/>
        </w:rPr>
      </w:r>
    </w:p>
    <w:p w14:paraId="000001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Hiragino Sans GB" w:cs="Hiragino Sans GB" w:eastAsia="Hiragino Sans GB" w:hAnsi="Hiragino Sans G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本文档依据当前讨论形成，未包含实际租户配置导出、真实邮件样本或试点结果。所有阈值为建议值；开始试点前须由邮件管理员、信息安全及隐私/合规负责人共同确认。</w:t>
      </w:r>
      <w:r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Hiragino Sans GB" w:cs="Hiragino Sans GB" w:eastAsia="Hiragino Sans GB" w:hAnsi="Hiragino Sans GB"/>
                  <w:color w:val="105128"/>
                  <w:sz w:val="18"/>
                  <w:szCs w:val="18"/>
                  <w:rtl w:val="0"/>
                </w:rPr>
                <w:t xml:space="preserve">邮件垃圾信息 AI 识别方案试点效果分析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