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10"/>
      </w:tblGrid>
      <w:tr>
        <w:tc>
          <w:tcPr>
            <w:tcW w:type="dxa" w:w="10209"/>
            <w:shd w:val="clear" w:color="auto" w:fill="0F172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36"/>
              </w:rPr>
              <w:t>E-COMMERCE DATA ANALYTICS &amp; BUSINESS INTELLIGENCE</w:t>
            </w:r>
          </w:p>
          <w:p>
            <w:pPr>
              <w:jc w:val="left"/>
            </w:pPr>
            <w:r>
              <w:rPr>
                <w:rFonts w:ascii="Arial" w:hAnsi="Arial"/>
                <w:b/>
                <w:color w:val="38BDF8"/>
                <w:sz w:val="22"/>
              </w:rPr>
              <w:t>End-to-End Marketplace Performance Analysis — Olist Real Dataset</w:t>
            </w:r>
          </w:p>
        </w:tc>
      </w:tr>
    </w:tbl>
    <w:p>
      <w:pPr>
        <w:spacing w:before="240" w:after="360"/>
      </w:pPr>
      <w:r>
        <w:rPr>
          <w:color w:val="64748B"/>
          <w:sz w:val="19"/>
        </w:rPr>
        <w:t>Prepared by: Franklin Azevedo, Data Analyst  |  Core Stack: Python, Data Modeling, Advanced ETL, Business KPI Engineering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6"/>
        </w:rPr>
        <w:t>1. Project Overview &amp; Objective</w:t>
      </w:r>
    </w:p>
    <w:p>
      <w:pPr>
        <w:spacing w:after="240"/>
      </w:pPr>
      <w:r>
        <w:t>This portfolio document establishes a comprehensive technical breakdown of an end-to-end data analysis pipeline executed on the relational e-commerce database from Olist. The foundational objective of the core notebook architecture was to ingest, clean, manipulate, and model raw operational database tables to extract clear, high-level business intelligence performance metrics and trends that dictate enterprise decision-making.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6"/>
        </w:rPr>
        <w:t>2. Verified Enterprise Main KPIs</w:t>
      </w:r>
    </w:p>
    <w:p>
      <w:pPr>
        <w:spacing w:after="240"/>
      </w:pPr>
      <w:r>
        <w:t>The programmatic aggregation scripts executed directly over the validated database generated the following production data foundations: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52"/>
        <w:gridCol w:w="2552"/>
        <w:gridCol w:w="2552"/>
        <w:gridCol w:w="2552"/>
      </w:tblGrid>
      <w:tr>
        <w:tc>
          <w:tcPr>
            <w:tcW w:type="dxa" w:w="2552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  <w:sz w:val="26"/>
              </w:rPr>
              <w:t>99,441</w:t>
            </w:r>
          </w:p>
        </w:tc>
        <w:tc>
          <w:tcPr>
            <w:tcW w:type="dxa" w:w="2552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  <w:sz w:val="26"/>
              </w:rPr>
              <w:t>96,096</w:t>
            </w:r>
          </w:p>
        </w:tc>
        <w:tc>
          <w:tcPr>
            <w:tcW w:type="dxa" w:w="2552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  <w:sz w:val="26"/>
              </w:rPr>
              <w:t>R$ 16,008,872.12</w:t>
            </w:r>
          </w:p>
        </w:tc>
        <w:tc>
          <w:tcPr>
            <w:tcW w:type="dxa" w:w="2552"/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  <w:sz w:val="26"/>
              </w:rPr>
              <w:t>R$ 160.99</w:t>
            </w:r>
          </w:p>
        </w:tc>
      </w:tr>
      <w:tr>
        <w:tc>
          <w:tcPr>
            <w:tcW w:type="dxa" w:w="2552"/>
            <w:shd w:val="clear" w:color="auto" w:fill="F8FAFC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Total Orders</w:t>
            </w:r>
          </w:p>
        </w:tc>
        <w:tc>
          <w:tcPr>
            <w:tcW w:type="dxa" w:w="2552"/>
            <w:shd w:val="clear" w:color="auto" w:fill="F8FAFC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Total Customers</w:t>
            </w:r>
          </w:p>
        </w:tc>
        <w:tc>
          <w:tcPr>
            <w:tcW w:type="dxa" w:w="2552"/>
            <w:shd w:val="clear" w:color="auto" w:fill="F8FAFC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Total Revenue</w:t>
            </w:r>
          </w:p>
        </w:tc>
        <w:tc>
          <w:tcPr>
            <w:tcW w:type="dxa" w:w="2552"/>
            <w:shd w:val="clear" w:color="auto" w:fill="F8FAFC"/>
          </w:tcPr>
          <w:p>
            <w:pPr>
              <w:jc w:val="center"/>
            </w:pPr>
            <w:r>
              <w:rPr>
                <w:b/>
                <w:color w:val="64748B"/>
                <w:sz w:val="17"/>
              </w:rPr>
              <w:t>Avg. Order Value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172A"/>
          <w:sz w:val="26"/>
        </w:rPr>
        <w:t>3. Macro Revenue Trend Analysis</w:t>
      </w:r>
    </w:p>
    <w:p>
      <w:pPr>
        <w:spacing w:after="240"/>
      </w:pPr>
      <w:r>
        <w:t>Through systematic time-series aggregation, operational sales velocity was analyzed across a multi-year horizon. The analysis details sequential structural revenue scaling from late 2016 through mid-2018, mapping peak performance blocks and identifying critical cyclical seasonality patterns.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8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1: Longitudinal Monthly Gross Revenue Distribution Trend (Notebook Visual Output)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6"/>
        </w:rPr>
        <w:t>4. Geographic Performance Distribution</w:t>
      </w:r>
    </w:p>
    <w:p>
      <w:pPr>
        <w:spacing w:after="240"/>
      </w:pPr>
      <w:r>
        <w:t>Regional market concentration was analyzed using localization mapping. Regional data grouping structures reveal that state-level distribution metrics are highly centralized within specific economic clusters, providing explicit commercial guidance for regional storage alignment and optimized shipping infrastructure.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01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by_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2: Regional Revenue Generation Analysis Mapping Top 10 Macro States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9"/>
      </w:tblGrid>
      <w:tr>
        <w:tc>
          <w:tcPr>
            <w:tcW w:type="dxa" w:w="10209"/>
            <w:shd w:val="clear" w:color="auto" w:fill="F0F9FF"/>
          </w:tcPr>
          <w:p>
            <w:r>
              <w:rPr>
                <w:b/>
                <w:color w:val="0284C7"/>
              </w:rPr>
              <w:t xml:space="preserve">Geographic Discovery: </w:t>
            </w:r>
            <w:r>
              <w:rPr>
                <w:sz w:val="20"/>
              </w:rPr>
              <w:t>The state of São Paulo (SP) represents the ultimate commercial hub, driving R$ 6.0M in gross transaction volume, followed sequentially by Rio de Janeiro (RJ) at R$ 2.1M and Minas Gerais (MG) at R$ 1.9M.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F172A"/>
          <w:sz w:val="26"/>
        </w:rPr>
        <w:t>5. Product Category &amp; Commercial Specialization</w:t>
      </w:r>
    </w:p>
    <w:p>
      <w:pPr>
        <w:spacing w:after="240"/>
      </w:pPr>
      <w:r>
        <w:t>Granular category ranking models were constructed to evaluate inventory performance. High-volume consumer categories were separated from low-performing margins to assist procurement strategy.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7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by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3: Categorical Revenue Concentration Ranking (Top 10 Performing Portfolios)</w:t>
      </w:r>
    </w:p>
    <w:p>
      <w:pPr>
        <w:spacing w:after="240"/>
      </w:pPr>
      <w:r>
        <w:t>The data indicates that Health &amp; Beauty (R$ 1.3M) and Watches &amp; Gifts (R$ 1.2M) represent the primary revenue drivers for the marketplace framework, heavily dictating absolute corporate transaction health.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6"/>
        </w:rPr>
        <w:t>6. Transaction Behavior &amp; Payment Preferences</w:t>
      </w:r>
    </w:p>
    <w:p>
      <w:pPr>
        <w:spacing w:after="240"/>
      </w:pPr>
      <w:r>
        <w:t>To understand user checkout friction, transactional methods were evaluated by absolute volume metrics. This technical step measures checkout patterns to ensure payment Gateway optimization.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67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4: Quantitative Distribution of System Transactions by Selected Payment Gateway</w:t>
      </w:r>
    </w:p>
    <w:p>
      <w:pPr>
        <w:spacing w:after="240"/>
      </w:pPr>
      <w:r>
        <w:t>Credit card utilization remains overwhelmingly dominant with 76,795 confirmed checkout instances, which significantly outlines consumer credit dependency inside the platform framework.</w:t>
      </w:r>
    </w:p>
    <w:p>
      <w:pPr>
        <w:keepNext/>
        <w:spacing w:before="360" w:after="120"/>
      </w:pPr>
      <w:r>
        <w:rPr>
          <w:rFonts w:ascii="Arial" w:hAnsi="Arial"/>
          <w:b/>
          <w:color w:val="0F172A"/>
          <w:sz w:val="26"/>
        </w:rPr>
        <w:t>7. Technical Competency Summary</w:t>
      </w:r>
    </w:p>
    <w:p>
      <w:r>
        <w:t>This data infrastructure implementation successfully demonstrates deep operational mastery over the entire analytics ecosystem: engineering raw relational structures, extracting precise data metrics, handling dense enterprise-level datasets, and visualizing key strategic indicators to generate immediate executive commercial value.</w:t>
      </w:r>
    </w:p>
    <w:sectPr w:rsidR="00FC693F" w:rsidRPr="0006063C" w:rsidSect="00034616">
      <w:pgSz w:w="11909" w:h="16834"/>
      <w:pgMar w:top="1138" w:right="850" w:bottom="1138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