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00"/>
        <w:jc w:val="center"/>
      </w:pPr>
      <w:r>
        <w:rPr>
          <w:rFonts w:ascii="Arial" w:hAnsi="Arial"/>
          <w:b/>
          <w:color w:val="0A2540"/>
          <w:sz w:val="24"/>
        </w:rPr>
        <w:t>INSTITUCIÓN UNIVERSITARIA DEL PUTUMAYO – UNIPUTUMAYO</w:t>
        <w:br/>
        <w:t>FACULTAD DE INGENIERÍA</w:t>
        <w:br/>
        <w:t>TECNOLOGÍA EN DESARROLLO DE SOFTWARE</w:t>
      </w:r>
    </w:p>
    <w:p>
      <w:pPr>
        <w:spacing w:after="360"/>
        <w:jc w:val="center"/>
      </w:pPr>
      <w:r>
        <w:rPr>
          <w:rFonts w:ascii="Arial" w:hAnsi="Arial"/>
          <w:b/>
          <w:color w:val="0066CC"/>
          <w:sz w:val="32"/>
        </w:rPr>
        <w:t>INFORME TÉCNICO - TALLER 6:</w:t>
        <w:br/>
        <w:t>CONTINUOUS DEPLOYMENT, SPRINT REVIEW &amp; RETROSPECTIVE</w:t>
      </w:r>
    </w:p>
    <w:p>
      <w:pPr>
        <w:spacing w:after="1400"/>
        <w:jc w:val="center"/>
      </w:pPr>
      <w:r>
        <w:rPr>
          <w:rFonts w:ascii="Arial" w:hAnsi="Arial"/>
          <w:i/>
          <w:color w:val="46505A"/>
          <w:sz w:val="21"/>
        </w:rPr>
        <w:t>Servicio de Feature Flags: ConfigCat</w:t>
        <w:br/>
        <w:t>Stack Tecnológico: React 18, Vite, TypeScript, ConfigCat SDK, Render</w:t>
        <w:br/>
        <w:t>Caso Técnico: 'Pagos Express en Liquidación de Trámites Catastrales'</w:t>
        <w:br/>
        <w:t>Repositorio: https://github.com/franklincordoba2001-ops/taller-6-continuous-deployment</w:t>
      </w:r>
    </w:p>
    <w:p>
      <w:pPr>
        <w:jc w:val="center"/>
      </w:pPr>
      <w:r>
        <w:rPr>
          <w:rFonts w:ascii="Arial" w:hAnsi="Arial"/>
          <w:b/>
          <w:color w:val="1E2832"/>
          <w:sz w:val="21"/>
        </w:rPr>
        <w:t>ESTUDIANTE:</w:t>
        <w:br/>
        <w:t>Franklin Sneider Córdoba De La Cruz</w:t>
        <w:br/>
        <w:br/>
        <w:t>DOCENTE:</w:t>
        <w:br/>
        <w:t>Juan Pablo</w:t>
        <w:br/>
        <w:br/>
        <w:t>ASIGNATURA / DIPLOMADO:</w:t>
        <w:br/>
        <w:t>Integración Continua, Continuous Deployment &amp; DevOps</w:t>
        <w:br/>
        <w:br/>
        <w:t>MOCOA, PUTUMAYO, COLOMBIA</w:t>
        <w:br/>
        <w:t>OCTUBRE DE 2026</w:t>
      </w:r>
    </w:p>
    <w:p>
      <w:r>
        <w:br w:type="page"/>
      </w:r>
    </w:p>
    <w:p>
      <w:pPr>
        <w:pStyle w:val="Heading1"/>
      </w:pPr>
      <w:r>
        <w:t>1. INTRODUCCIÓN Y OBJETIVO</w:t>
      </w:r>
    </w:p>
    <w:p>
      <w:pPr>
        <w:spacing w:after="240"/>
      </w:pPr>
      <w:r>
        <w:t>El presente informe documenta la resolución técnica y metodológica del caso de estudio de 'Pagos Express' en el marco del Taller 6: Continuous Deployment, Sprint Review &amp; Retrospective. El objetivo central es adaptar las ceremonias de Scrum (Sprint Review y Sprint Retrospective) y las políticas de liberación a un modelo maduro de Continuous Deployment (CD) y Trunk-Based Development (TBD), desacoplando el despliegue técnico a Render de la liberación al usuario final mediante Feature Toggles en ConfigCat.</w:t>
      </w:r>
    </w:p>
    <w:p>
      <w:pPr>
        <w:pStyle w:val="Heading1"/>
      </w:pPr>
      <w:r>
        <w:t>2. EN EL SPRINT REVIEW</w:t>
      </w:r>
    </w:p>
    <w:p>
      <w:pPr>
        <w:pStyle w:val="Heading2"/>
      </w:pPr>
      <w:r>
        <w:t>2.1 Principios Comparativos: Review Clásico vs. Review en Continuous Deployment</w:t>
      </w:r>
    </w:p>
    <w:p>
      <w:r>
        <w:t>• Review Clásico: Demostración de un incremento acumulado al final de una iteración de dos semanas; enfoque de 'todo o nada' habitualmente presentado en local o staging; feedback tardío centrado en 'qué construimos'.</w:t>
        <w:br/>
        <w:br/>
        <w:t>• Review en CD + TBD: Demostración de valor incremental que ya reside en el entorno de producción real (Render). Las funcionalidades están desacopladas mediante Feature Toggles (ConfigCat), permitiendo validación empírica y feedback continuo centrado en 'qué valor e impacto recibieron los usuarios'.</w:t>
      </w:r>
    </w:p>
    <w:p>
      <w:pPr>
        <w:pStyle w:val="Heading2"/>
      </w:pPr>
      <w:r>
        <w:t>2.2 Protocolo de Demostración y Comunicación en el Review (Caso: Pagos Express)</w:t>
      </w:r>
    </w:p>
    <w:p>
      <w:r>
        <w:t>1. Demo con el toggle en OFF primero (estado real actual):</w:t>
        <w:br/>
        <w:t xml:space="preserve">   Se proyecta la aplicación directamente en Render mostrando la experiencia real y actual de los usuarios (formulario estándar de liquidación), demostrando que el código ya reside en la rama main y en producción sin alterar el comportamiento de los ciudadanos ni generar riesgo alguno.</w:t>
        <w:br/>
        <w:br/>
        <w:t>2. Activación temporal restringida:</w:t>
        <w:br/>
        <w:t xml:space="preserve">   Luego se activa temporalmente solo para el equipo (o un usuario de prueba) y se muestra el flujo de 'Pagar en 1 Clic con Pagos Express', demostrando la conmutación instantánea del componente sin requerir nuevos commits, compilaciones ni redespliegues.</w:t>
        <w:br/>
        <w:br/>
        <w:t>3. Gestión rigurosa de expectativas:</w:t>
        <w:br/>
        <w:t xml:space="preserve">   Se evita comprometer una fecha de activación al 20% en el Review, condicionando la liberación a métricas y estabilidad demostrada.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24" w:space="0" w:color="0066CC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A2540"/>
                <w:sz w:val="20"/>
              </w:rPr>
              <w:t xml:space="preserve">📌 DECLARACIÓN TRANSPARENTE DEL PRODUCT OWNER (PO): </w:t>
            </w:r>
            <w:r>
              <w:rPr>
                <w:rFonts w:ascii="Arial" w:hAnsi="Arial"/>
                <w:color w:val="28323C"/>
                <w:sz w:val="20"/>
              </w:rPr>
              <w:t>“La funcionalidad está técnicamente lista y desplegada, pero todavía no la hemos liberado a usuarios reales porque necesitamos definir métricas de observación y resolver riesgos de estabilidad del pipeline. La campaña de marketing se pausará o se ajustará.”</w:t>
            </w:r>
          </w:p>
        </w:tc>
      </w:tr>
    </w:tbl>
    <w:p/>
    <w:p>
      <w:pPr>
        <w:pStyle w:val="Heading1"/>
      </w:pPr>
      <w:r>
        <w:t>3. EN LA SPRINT RETROSPECTIVE (ACCIONES CONCRETAS)</w:t>
      </w:r>
    </w:p>
    <w:p>
      <w:pPr>
        <w:pStyle w:val="Heading2"/>
      </w:pPr>
      <w:r>
        <w:t>3.1 Nuevos Focos de Inspección Obligatoria en CD</w:t>
      </w:r>
    </w:p>
    <w:p>
      <w:r>
        <w:t>En Continuous Deployment, la Retrospectiva deja de ser una dinámica abstracta y analiza métricas técnicas de flujo:</w:t>
        <w:br/>
        <w:t>• Salud del Pipeline: Tasa de builds rotos, tiempos de auto-deploy, estabilidad de health checks y presencia de rollbacks.</w:t>
        <w:br/>
        <w:t>• Disciplina TBD: Integraciones diarias a main, tiempo de vida de ramas (&lt; 24 horas) e higiene/retiro de feature flags.</w:t>
        <w:br/>
        <w:t>• Flujo de Valor: Lead Time for Changes y tiempo efectivo en que el usuario recibe valor con observabilidad activa.</w:t>
      </w:r>
    </w:p>
    <w:p>
      <w:pPr>
        <w:pStyle w:val="Heading2"/>
      </w:pPr>
      <w:r>
        <w:t>3.2 Matriz de Retrospectiva (Estructura Miro)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fill="0A25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🟢 Lo que funcionó bien</w:t>
            </w:r>
          </w:p>
        </w:tc>
        <w:tc>
          <w:tcPr>
            <w:tcW w:type="dxa" w:w="3168"/>
            <w:shd w:fill="0A25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🟡 Lo que generó fricción</w:t>
            </w:r>
          </w:p>
        </w:tc>
        <w:tc>
          <w:tcPr>
            <w:tcW w:type="dxa" w:w="3168"/>
            <w:shd w:fill="0A25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🔴 Lo que rompió el flujo / miedo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282828"/>
                <w:sz w:val="18"/>
              </w:rPr>
              <w:t>• Despliegue automático a Render cumpliendo DoD técnico.</w:t>
              <w:br/>
              <w:t>• Aislamiento efectivo de código sin riesgo al usuario final mediante pagos-express-v1 en ConfigCat.</w:t>
              <w:br/>
              <w:t>• Separación de deploy y release.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282828"/>
                <w:sz w:val="18"/>
              </w:rPr>
              <w:t>• Tests flaky en CI que demoraron integraciones.</w:t>
              <w:br/>
              <w:t>• Presión comercial del PO / Marketing por activar en viernes sin observabilidad.</w:t>
              <w:br/>
              <w:t>• Solo 4 integraciones en el sprint.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282828"/>
                <w:sz w:val="18"/>
              </w:rPr>
              <w:t>• Caída de 11 minutos por health check fallido en el último deploy.</w:t>
              <w:br/>
              <w:t>• Rollback manual no automatizado ante fallo de servicio.</w:t>
              <w:br/>
              <w:t>• Acumulación de 3 toggles obsoletos (+45 días).</w:t>
            </w:r>
          </w:p>
        </w:tc>
      </w:tr>
    </w:tbl>
    <w:p>
      <w:pPr>
        <w:spacing w:after="200"/>
      </w:pPr>
    </w:p>
    <w:p>
      <w:pPr>
        <w:pStyle w:val="Heading2"/>
      </w:pPr>
      <w:r>
        <w:t>3.3 Las Tres Acciones Concretas de Mejora Inmediata</w:t>
      </w:r>
    </w:p>
    <w:p>
      <w:r>
        <w:t>• Acción 1: Arreglar el test flaky en las próximas 24 h (máxima prioridad).</w:t>
        <w:br/>
        <w:t xml:space="preserve">  Responsable: Developers. Aislar, refactorizar o mockear de inmediato el test intermitente que bloqueó el CI por 4 días, restableciendo la confianza en las pruebas automáticas.</w:t>
        <w:br/>
        <w:br/>
        <w:t>• Acción 2: Crear un dashboard mínimo de métricas de pagos (errores + conversión) antes de cualquier activación.</w:t>
        <w:br/>
        <w:t xml:space="preserve">  Responsable: Devs + PO. Implementar telemetría en tiempo real sobre errores HTTP 5xx/pasarela y tasa de conversión antes de liberar tráfico externo.</w:t>
        <w:br/>
        <w:br/>
        <w:t>• Acción 3: Limpiar o eliminar los 3 toggles antiguos en este mismo sprint.</w:t>
        <w:br/>
        <w:t xml:space="preserve">  Responsable: Equipo / PO. Erradicar del código base los 3 feature toggles con más de 45 días de vida para pagar la deuda técnica acumulada.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24" w:space="0" w:color="D97706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A2540"/>
                <w:sz w:val="20"/>
              </w:rPr>
              <w:t xml:space="preserve">📌 ACUERDO VINCULANTE DE EQUIPO (RETROSPECTIVA): </w:t>
            </w:r>
            <w:r>
              <w:rPr>
                <w:rFonts w:ascii="Arial" w:hAnsi="Arial"/>
                <w:color w:val="28323C"/>
                <w:sz w:val="20"/>
              </w:rPr>
              <w:t>“No se activará ningún toggle nuevo a usuarios reales hasta que el health check no haya fallado en los últimos 7 deploys.”</w:t>
            </w:r>
          </w:p>
        </w:tc>
      </w:tr>
    </w:tbl>
    <w:p/>
    <w:p>
      <w:pPr>
        <w:pStyle w:val="Heading1"/>
      </w:pPr>
      <w:r>
        <w:t>4. ESTRATEGIA DE LIBERACIÓN SEGURA (DECISIÓN FINAL)</w:t>
      </w:r>
    </w:p>
    <w:p>
      <w:pPr>
        <w:pStyle w:val="Heading2"/>
      </w:pPr>
      <w:r>
        <w:t>4.1 Evaluación de Decisión: ¿Activar al 20% el Viernes?</w:t>
      </w:r>
    </w:p>
    <w:p>
      <w:r>
        <w:t>• Decisión Final: NO SE ACTIVA EL 20% ESTE VIERNES.</w:t>
        <w:br/>
        <w:t>• Justificación Técnica: Incumple las ventanas seguras de despliegue (no liberar antes del fin de semana sin guardia técnica activa); existe un antecedente reciente de fallo de 11 minutos en health check durante el último deploy; persisten tests flaky en CI; y no existe telemetría previa para monitorear caídas o pagos fallidos.</w:t>
      </w:r>
    </w:p>
    <w:p>
      <w:pPr>
        <w:pStyle w:val="Heading2"/>
      </w:pPr>
      <w:r>
        <w:t>4.2 Plan Acordado de Liberación Progresiva (5 Pasos)</w:t>
      </w:r>
    </w:p>
    <w:p>
      <w:r>
        <w:t>1. Paso 1: Resolver test flaky + limpiar toggles viejos (esta semana).</w:t>
        <w:br/>
        <w:t>2. Paso 2: Implementar métricas básicas de error y conversión (máximo 3 días).</w:t>
        <w:br/>
        <w:t>3. Paso 3: Activar primero solo para usuarios internos / equipo (1-2 días de observación).</w:t>
        <w:br/>
        <w:t>4. Paso 4: Si todo está estable → subir al 5% → 20% con observación de 48 h en cada paso.</w:t>
        <w:br/>
        <w:t>5. Paso 5: Criterio de rollback automático: cualquier aumento &gt; 0,5% en errores de pago activa de inmediato el apagado del toggle en ConfigCat en menos de 60 segundos.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CFDF5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24" w:space="0" w:color="10B981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A2540"/>
                <w:sz w:val="20"/>
              </w:rPr>
              <w:t xml:space="preserve">📌 RESUMEN DE LA DECISIÓN MADURA: </w:t>
            </w:r>
            <w:r>
              <w:rPr>
                <w:rFonts w:ascii="Arial" w:hAnsi="Arial"/>
                <w:color w:val="28323C"/>
                <w:sz w:val="20"/>
              </w:rPr>
              <w:t>“Se protege la confianza del pipeline y la disciplina TBD por encima de la presión comercial de corto plazo. Se comunica con transparencia al stakeholder y se define un camino claro y seguro de liberación.”</w:t>
            </w:r>
          </w:p>
        </w:tc>
      </w:tr>
    </w:tbl>
    <w:p/>
    <w:p>
      <w:pPr>
        <w:pStyle w:val="Heading1"/>
      </w:pPr>
      <w:r>
        <w:t>5. REFLEXIÓN PEDAGÓGICA Y CONCLUSIONES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24" w:space="0" w:color="7C3AED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A2540"/>
                <w:sz w:val="20"/>
              </w:rPr>
              <w:t xml:space="preserve">📌 ANÁLISIS DE COMPLEJIDAD Y NEGOCIACIÓN DEL CASO: </w:t>
            </w:r>
            <w:r>
              <w:rPr>
                <w:rFonts w:ascii="Arial" w:hAnsi="Arial"/>
                <w:color w:val="28323C"/>
                <w:sz w:val="20"/>
              </w:rPr>
              <w:t>“Este caso es suficientemente difícil porque combina presión de negocio, deuda técnica, fallos recientes de pipeline, falta de métricas y ruptura de disciplina TBD. Obliga al equipo a negociar, priorizar y aplicar todo lo aprendido en los cuatro talleres.”</w:t>
            </w:r>
          </w:p>
        </w:tc>
      </w:tr>
    </w:tbl>
    <w:p/>
    <w:p>
      <w:r>
        <w:t>1. Continuous Deployment exige desacoplar el despliegue técnico (automatizado hacia Render) de la liberación de valor (controlada por el PO en ConfigCat).</w:t>
        <w:br/>
        <w:t>2. El Sprint Review valida hipótesis de valor e impacto real con telemetría, no promesas de fin de ciclo.</w:t>
        <w:br/>
        <w:t>3. La Sprint Retrospective audita matemáticamente la salud del pipeline y protege las 5 reglas de oro de Trunk-Based Development.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FF4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24" w:space="0" w:color="00D4B2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A2540"/>
                <w:sz w:val="20"/>
              </w:rPr>
              <w:t xml:space="preserve">📌 FRASE X OFICIAL: </w:t>
            </w:r>
            <w:r>
              <w:rPr>
                <w:rFonts w:ascii="Arial" w:hAnsi="Arial"/>
                <w:color w:val="28323C"/>
                <w:sz w:val="20"/>
              </w:rPr>
              <w:t>“Desplegar a producción ya no es un evento de cierre de sprint, sino una rutina continua e invisible; el Review valida el impacto del valor real y la Retrospectiva protege la salud del pipeline y la disciplina diaria de integración.”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