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00"/>
        <w:jc w:val="center"/>
      </w:pPr>
      <w:r>
        <w:rPr>
          <w:rFonts w:ascii="Arial" w:hAnsi="Arial"/>
          <w:b/>
          <w:color w:val="0A2540"/>
          <w:sz w:val="24"/>
        </w:rPr>
        <w:t>INSTITUCIÓN UNIVERSITARIA DEL PUTUMAYO – UNIPUTUMAYO</w:t>
        <w:br/>
        <w:t>FACULTAD DE INGENIERÍA</w:t>
        <w:br/>
        <w:t>TECNOLOGÍA EN DESARROLLO DE SOFTWARE</w:t>
      </w:r>
    </w:p>
    <w:p>
      <w:pPr>
        <w:spacing w:after="360"/>
        <w:jc w:val="center"/>
      </w:pPr>
      <w:r>
        <w:rPr>
          <w:rFonts w:ascii="Arial" w:hAnsi="Arial"/>
          <w:b/>
          <w:color w:val="0066CC"/>
          <w:sz w:val="32"/>
        </w:rPr>
        <w:t>INFORME TÉCNICO - TALLER 6:</w:t>
        <w:br/>
        <w:t>CONTINUOUS DEPLOYMENT, SPRINT REVIEW &amp; RETROSPECTIVE</w:t>
      </w:r>
    </w:p>
    <w:p>
      <w:pPr>
        <w:spacing w:after="1400"/>
        <w:jc w:val="center"/>
      </w:pPr>
      <w:r>
        <w:rPr>
          <w:rFonts w:ascii="Arial" w:hAnsi="Arial"/>
          <w:i/>
          <w:color w:val="46505A"/>
          <w:sz w:val="21"/>
        </w:rPr>
        <w:t>Servicio de Feature Flags: ConfigCat</w:t>
        <w:br/>
        <w:t>Stack Tecnológico: React 18, Vite, TypeScript, ConfigCat SDK, Render</w:t>
        <w:br/>
        <w:t>Caso Técnico: 'Pagos Express en Liquidación de Trámites Catastrales'</w:t>
      </w:r>
    </w:p>
    <w:p>
      <w:pPr>
        <w:jc w:val="center"/>
      </w:pPr>
      <w:r>
        <w:rPr>
          <w:rFonts w:ascii="Arial" w:hAnsi="Arial"/>
          <w:b/>
          <w:color w:val="1E2832"/>
          <w:sz w:val="21"/>
        </w:rPr>
        <w:t>ESTUDIANTE:</w:t>
        <w:br/>
        <w:t>Franklin Sneider Córdoba De La Cruz</w:t>
        <w:br/>
        <w:br/>
        <w:t>DOCENTE:</w:t>
        <w:br/>
        <w:t>Juan Pablo</w:t>
        <w:br/>
        <w:br/>
        <w:t>ASIGNATURA / DIPLOMADO:</w:t>
        <w:br/>
        <w:t>Integración Continua, Continuous Deployment &amp; DevOps</w:t>
        <w:br/>
        <w:br/>
        <w:t>MOCOA, PUTUMAYO, COLOMBIA</w:t>
        <w:br/>
        <w:t>OCTUBRE DE 2026</w:t>
      </w:r>
    </w:p>
    <w:p>
      <w:r>
        <w:br w:type="page"/>
      </w:r>
    </w:p>
    <w:p>
      <w:pPr>
        <w:pStyle w:val="Heading1"/>
      </w:pPr>
      <w:r>
        <w:t>1. INTRODUCCIÓN Y OBJETIVO</w:t>
      </w:r>
    </w:p>
    <w:p>
      <w:pPr>
        <w:spacing w:after="240"/>
      </w:pPr>
      <w:r>
        <w:t>El presente informe documenta la adaptación práctica de las ceremonias ágiles de Scrum (Sprint Review y Sprint Retrospective) al modelo de Continuous Deployment (CD) y Trunk-Based Development (TBD), resolviendo el caso técnico de 'Pagos Express' mediante el desacople entre despliegue y liberación con Feature Flags y una estrategia de liberación controlada.</w:t>
      </w:r>
    </w:p>
    <w:p>
      <w:pPr>
        <w:pStyle w:val="Heading1"/>
      </w:pPr>
      <w:r>
        <w:t>2. ADAPTACIÓN DEL SPRINT REVIEW A CONTINUOUS DEPLOYMENT</w:t>
      </w:r>
    </w:p>
    <w:p>
      <w:pPr>
        <w:pStyle w:val="Heading2"/>
      </w:pPr>
      <w:r>
        <w:t>2.1 Principios Comparativos</w:t>
      </w:r>
    </w:p>
    <w:p>
      <w:r>
        <w:t>• Review Clásico: Demostración de un incremento acumulado al final de una iteración de dos semanas; enfoque de 'todo o nada' habitualmente presentado en local o staging; feedback tardío centrado en 'qué construimos'.</w:t>
        <w:br/>
        <w:br/>
        <w:t>• Review en CD + TBD: Demostración de valor incremental que ya reside en el entorno de producción real (Render). Las funcionalidades están desacopladas mediante Feature Toggles (ConfigCat), permitiendo validación empírica y feedback continuo centrado en 'qué valor e impacto recibieron los usuarios'.</w:t>
      </w:r>
    </w:p>
    <w:p>
      <w:pPr>
        <w:pStyle w:val="Heading2"/>
      </w:pPr>
      <w:r>
        <w:t>2.2 Ficha Técnica de Demostración (Caso: Pagos Express)</w:t>
      </w:r>
    </w:p>
    <w:p>
      <w:r>
        <w:t>• Problema Resuelto: Elimina la fricción y abandono en la liquidación de trámites catastrales mediante un checkout rápido de 1 clic con firma digital autorizada, evitando formularios bancarios repetitivos.</w:t>
        <w:br/>
        <w:br/>
        <w:t>• Estado en Producción: Código integrado a la rama main y desplegado en Render, aislado detrás del flag pagos-express-v1 (en estado OFF).</w:t>
        <w:br/>
        <w:br/>
        <w:t>• Flujo de la Demo en Vivo:</w:t>
        <w:br/>
        <w:t xml:space="preserve">  1. Estado OFF: Se proyecta la aplicación en Render mostrando la pasarela estándar ('Completar formulario y Pagar') con el flag inactivo.</w:t>
        <w:br/>
        <w:t xml:space="preserve">  2. Conmutación: Se conmuta el toggle pagos-express-v1 a ON en la consola de ConfigCat y se publica el cambio.</w:t>
        <w:br/>
        <w:t xml:space="preserve">  3. Estado ON: Sin requerir nuevo commit, compilación ni redespliegue, la interfaz actualiza dinámicamente el componente a 'Pagar en 1 Clic con Pagos Express'.</w:t>
        <w:br/>
        <w:br/>
        <w:t>• Métricas de Éxito: Reducción del tiempo de liquidación (de 3 minutos a menos de 10 segundos), tasa de conversión en pasarela y tasa de error técnico inferior al 0.5%.</w:t>
        <w:br/>
        <w:br/>
        <w:t>• Pregunta de Validación al PO/Stakeholders: “¿La confirmación en un clic resuelve la necesidad del ciudadano antes de abrir el tráfico al 100%?”</w:t>
      </w:r>
    </w:p>
    <w:p>
      <w:pPr>
        <w:pStyle w:val="Heading1"/>
      </w:pPr>
      <w:r>
        <w:t>3. ADAPTACIÓN DE LA SPRINT RETROSPECTIVE</w:t>
      </w:r>
    </w:p>
    <w:p>
      <w:pPr>
        <w:pStyle w:val="Heading2"/>
      </w:pPr>
      <w:r>
        <w:t>3.1 Nuevos Focos de Inspección Obligatoria</w:t>
      </w:r>
    </w:p>
    <w:p>
      <w:r>
        <w:t>En Continuous Deployment, la Retrospectiva deja de ser una dinámica abstracta y analiza métricas técnicas de flujo:</w:t>
        <w:br/>
        <w:t>• Salud del Pipeline: Tasa de builds rotos, tiempos de auto-deploy, estabilidad de health checks y presencia de rollbacks.</w:t>
        <w:br/>
        <w:t>• Disciplina TBD: Integraciones diarias a main, tiempo de vida de ramas (&lt; 24 horas) e higiene/retiro de feature flags.</w:t>
        <w:br/>
        <w:t>• Flujo de Valor: Lead Time for Changes y tiempo efectivo en que el usuario recibe valor.</w:t>
      </w:r>
    </w:p>
    <w:p>
      <w:pPr>
        <w:pStyle w:val="Heading2"/>
      </w:pPr>
      <w:r>
        <w:t>3.2 Diagnóstico del Caso (Sprint Retrospective)</w:t>
      </w:r>
    </w:p>
    <w:p>
      <w:r>
        <w:t>• Salud del Pipeline: Se presentó un fallo de health check por 11 minutos durante el último deploy automático que requirió rollback manual; existencia de tests intermitentes (flaky tests) en el CI.</w:t>
        <w:br/>
        <w:t>• Disciplina TBD: Se redujo el ritmo a solo 4 integraciones en el sprint; una rama permaneció abierta 4 días para sortear el test flaky del CI.</w:t>
        <w:br/>
        <w:t>• Higiene de Toggles: Existen 3 feature toggles con más de 45 días de vida sin retirar del código base.</w:t>
        <w:br/>
        <w:t>• Flujo de Valor: Presión comercial por activar el toggle al 20% en viernes sin instrumentar métricas de error de pasarela ni conversión.</w:t>
      </w:r>
    </w:p>
    <w:p>
      <w:pPr>
        <w:pStyle w:val="Heading2"/>
      </w:pPr>
      <w:r>
        <w:t>3.3 Matriz de Retrospectiva (Estructura Miro)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0A25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🟢 Lo que funcionó bien</w:t>
            </w:r>
          </w:p>
        </w:tc>
        <w:tc>
          <w:tcPr>
            <w:tcW w:type="dxa" w:w="3168"/>
            <w:shd w:fill="0A25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🟡 Lo que generó fricción</w:t>
            </w:r>
          </w:p>
        </w:tc>
        <w:tc>
          <w:tcPr>
            <w:tcW w:type="dxa" w:w="3168"/>
            <w:shd w:fill="0A25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🔴 Lo que rompió el flujo / miedo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• Despliegue automático a Render cumpliendo DoD técnico.</w:t>
              <w:br/>
              <w:t>• Aislamiento efectivo de código sin riesgo al usuario final mediante pagos-express-v1 en ConfigCat.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• Tests flaky en CI que demoraron integraciones.</w:t>
              <w:br/>
              <w:t>• Presión comercial del PO por activar en viernes sin observabilidad.</w:t>
              <w:br/>
              <w:t>• Solo 4 integraciones en el sprint.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• Caída de 11 minutos por health check fallido.</w:t>
              <w:br/>
              <w:t>• Rollback manual no automatizado.</w:t>
              <w:br/>
              <w:t>• Acumulación de 3 toggles obsoletos (+45 días).</w:t>
            </w:r>
          </w:p>
        </w:tc>
      </w:tr>
    </w:tbl>
    <w:p>
      <w:pPr>
        <w:spacing w:after="200"/>
      </w:pPr>
    </w:p>
    <w:p>
      <w:pPr>
        <w:pStyle w:val="Heading2"/>
      </w:pPr>
      <w:r>
        <w:t>3.4 Tres Acciones de Mejora Obligatorias</w:t>
      </w:r>
    </w:p>
    <w:p>
      <w:r>
        <w:t>1. Acción 1 (Estabilidad de Pipeline): Cuarentenar de inmediato el test flaky del CI y configurar auto-rollback en Render ante fallos de health check. (Responsable: Developers).</w:t>
        <w:br/>
        <w:br/>
        <w:t>2. Acción 2 (Higiene de Toggles): Incorporar al Definition of Done (DoD) que todo toggle con más de 30 días en producción se priorice obligatoriamente como tarea de limpieza en el backlog. (Responsable: Equipo / PO).</w:t>
        <w:br/>
        <w:br/>
        <w:t>3. Acción 3 (DoR de Liberación): Definir como criterio en el Definition of Ready (DoR) que ninguna funcionalidad se active a usuarios externos sin dashboards activos de errores HTTP 5xx y latencia. (Responsable: PO + Devs).</w:t>
      </w:r>
    </w:p>
    <w:p>
      <w:pPr>
        <w:pStyle w:val="Heading1"/>
      </w:pPr>
      <w:r>
        <w:t>4. POLÍTICA DE LIBERACIÓN SEGURA DE VALOR</w:t>
      </w:r>
    </w:p>
    <w:p>
      <w:pPr>
        <w:pStyle w:val="Heading2"/>
      </w:pPr>
      <w:r>
        <w:t>4.1 Evaluación: ¿Activar al 20% el viernes?</w:t>
      </w:r>
    </w:p>
    <w:p>
      <w:r>
        <w:t>• Decisión: RECHAZAR LA ACTIVACIÓN.</w:t>
        <w:br/>
        <w:t>• Justificación Técnica: Incumple las ventanas seguras de despliegue (no liberar antes del fin de semana sin guardia técnica activa); existe un antecedente reciente de fallo en health check; y no existe telemetría para monitorear caídas o transacciones bancarias fallidas.</w:t>
      </w:r>
    </w:p>
    <w:p>
      <w:pPr>
        <w:pStyle w:val="Heading2"/>
      </w:pPr>
      <w:r>
        <w:t>4.2 Estrategia de Liberación Progresiva (Canary Rollout)</w:t>
      </w:r>
    </w:p>
    <w:p>
      <w:r>
        <w:t>1. Fase 0 (Interno / Dogfooding - Lunes): Activación al 100% exclusivamente para correos y cuentas del equipo de desarrollo, QA y Product Owner en ConfigCat.</w:t>
        <w:br/>
        <w:t>2. Fase 1 (Canary 5% - Martes): Activación para el 5% de usuarios reales en horario laboral diurno, manteniendo monitoreo activo por 24 horas.</w:t>
        <w:br/>
        <w:t>3. Fase 2 (Escalado Gradual - Miércoles a Jueves): Si la tasa de transacciones fallidas permanece inferior al 0.5%, escalar progresivamente a 20%, 50% y finalmente 100%.</w:t>
      </w:r>
    </w:p>
    <w:p>
      <w:pPr>
        <w:pStyle w:val="Heading2"/>
      </w:pPr>
      <w:r>
        <w:t>4.3 Protocolo de Monitoreo y Rollback Inmediato</w:t>
      </w:r>
    </w:p>
    <w:p>
      <w:r>
        <w:t>• Métricas bajo Observación: Tasa de errores HTTP 5xx, latencia p95 (umbral máximo 800 ms) y tasa de pagos fallidos en pasarela.</w:t>
        <w:br/>
        <w:t>• Criterio de Rollback: Si los errores superan el 1% o la latencia excede el umbral, se conmuta el toggle pagos-express-v1 a OFF inmediatamente desde ConfigCat, neutralizando el impacto en menos de 60 segundos sin necesidad de un nuevo deploy o commit.</w:t>
      </w:r>
    </w:p>
    <w:p>
      <w:pPr>
        <w:pStyle w:val="Heading1"/>
      </w:pPr>
      <w:r>
        <w:t>5. CONCLUSIONES Y CIERRE</w:t>
      </w:r>
    </w:p>
    <w:p>
      <w:r>
        <w:t>1. El Continuous Deployment exige desacoplar el despliegue técnico (automatizado por el pipeline hacia Render) de la liberación de valor (controlada por el Product Owner mediante ConfigCat).</w:t>
        <w:br/>
        <w:t>2. El Sprint Review deja de ser una entrega de fin de ciclo para convertirse en una sesión de validación de valor e hipótesis sobre el entorno de producción real.</w:t>
        <w:br/>
        <w:t>3. La Sprint Retrospective se transforma en un espacio de auditoría del pipeline, asegurando ramas cortas, pruebas estables y eliminación de deuda técnica en toggles.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FF4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24" w:space="0" w:color="00D4B2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A2540"/>
                <w:sz w:val="20"/>
              </w:rPr>
              <w:t xml:space="preserve">📌 FRASE X OFICIAL: </w:t>
            </w:r>
            <w:r>
              <w:rPr>
                <w:rFonts w:ascii="Arial" w:hAnsi="Arial"/>
                <w:color w:val="28323C"/>
                <w:sz w:val="20"/>
              </w:rPr>
              <w:t>“Desplegar a producción ya no es un evento de cierre de sprint, sino una rutina continua e invisible; el Review valida el impacto del valor real y la Retrospectiva protege la salud del pipeline y la disciplina diaria de integración.”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