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jc w:val="center"/>
      </w:pPr>
      <w:r>
        <w:rPr>
          <w:rFonts w:ascii="Arial" w:hAnsi="Arial"/>
          <w:b/>
          <w:color w:val="0A2540"/>
          <w:sz w:val="24"/>
        </w:rPr>
        <w:t>INSTITUCIÓN UNIVERSITARIA DEL PUTUMAYO – UNIPUTUMAYO</w:t>
        <w:br/>
        <w:t>FACULTAD DE INGENIERÍA</w:t>
        <w:br/>
        <w:t>TECNOLOGÍA EN DESARROLLO DE SOFTWARE</w:t>
      </w:r>
    </w:p>
    <w:p>
      <w:pPr>
        <w:spacing w:after="400"/>
        <w:jc w:val="center"/>
      </w:pPr>
      <w:r>
        <w:rPr>
          <w:rFonts w:ascii="Arial" w:hAnsi="Arial"/>
          <w:b/>
          <w:color w:val="0066CC"/>
          <w:sz w:val="34"/>
        </w:rPr>
        <w:t>TALLER 6:</w:t>
        <w:br/>
        <w:t>SPRINT REVIEW, RETROSPECTIVE Y LIBERACIÓN SEGURA EN CONTINUOUS DEPLOYMENT</w:t>
      </w:r>
    </w:p>
    <w:p>
      <w:pPr>
        <w:spacing w:after="1600"/>
        <w:jc w:val="center"/>
      </w:pPr>
      <w:r>
        <w:rPr>
          <w:rFonts w:ascii="Arial" w:hAnsi="Arial"/>
          <w:i/>
          <w:color w:val="46505A"/>
          <w:sz w:val="22"/>
        </w:rPr>
        <w:t>Resolución de Caso Real: 'La funcionalidad de Pagos Express ya está en main, pero nadie se atreve a activarla'</w:t>
        <w:br/>
        <w:t>Adopción de Trunk-Based Development, ConfigCat Feature Flags y Auto-Deploy en Render</w:t>
      </w:r>
    </w:p>
    <w:p>
      <w:pPr>
        <w:jc w:val="center"/>
      </w:pPr>
      <w:r>
        <w:rPr>
          <w:rFonts w:ascii="Arial" w:hAnsi="Arial"/>
          <w:b/>
          <w:color w:val="1E2832"/>
          <w:sz w:val="21"/>
        </w:rPr>
        <w:t>ESTUDIANTE:</w:t>
        <w:br/>
        <w:t>Franklin Sneider Córdoba De La Cruz</w:t>
        <w:br/>
        <w:br/>
        <w:t>DOCENTE:</w:t>
        <w:br/>
        <w:t>Juan Pablo</w:t>
        <w:br/>
        <w:br/>
        <w:t>ASIGNATURA / DIPLOMADO:</w:t>
        <w:br/>
        <w:t>Integración Continua, Continuous Deployment &amp; DevOps</w:t>
        <w:br/>
        <w:br/>
        <w:t>MOCOA, PUTUMAYO, COLOMBIA</w:t>
        <w:br/>
        <w:t>OCTUBRE DE 2026</w:t>
      </w:r>
    </w:p>
    <w:p>
      <w:r>
        <w:br w:type="page"/>
      </w:r>
    </w:p>
    <w:p>
      <w:pPr>
        <w:pStyle w:val="Heading1"/>
        <w:spacing w:before="300" w:after="160"/>
      </w:pPr>
      <w:r>
        <w:t>1. Apertura y Conexión con el Nuevo Flujo</w:t>
      </w:r>
    </w:p>
    <w:p>
      <w:pPr>
        <w:spacing w:after="200"/>
      </w:pPr>
      <w:r>
        <w:t>Con la consolidación de nuestro pipeline de Continuous Deployment (CD), cada integración exitosa en la rama principal (main) se compila, prueba y despliega automáticamente a producción en Render. Asimismo, disponemos de ConfigCat para proteger funcionalidades incompletas o en fase de prueba mediante Feature Flags. En este contexto, surge la necesidad ineludible de transformar radicalmente las ceremonias tradicionales de Scrum para adaptarlas a este nuevo ritmo continuo.</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24" w:space="0" w:color="0066CC"/>
              <w:bottom w:val="none"/>
              <w:right w:val="none"/>
            </w:tcBorders>
          </w:tcPr>
          <w:p>
            <w:pPr>
              <w:spacing w:before="40" w:after="40"/>
            </w:pPr>
            <w:r>
              <w:rPr>
                <w:rFonts w:ascii="Arial" w:hAnsi="Arial"/>
                <w:b/>
                <w:color w:val="0A2540"/>
                <w:sz w:val="20"/>
              </w:rPr>
              <w:t xml:space="preserve">📌 CAMBIO DE PARADIGMA CENTRAL: </w:t>
            </w:r>
            <w:r>
              <w:rPr>
                <w:rFonts w:ascii="Arial" w:hAnsi="Arial"/>
                <w:color w:val="28323C"/>
                <w:sz w:val="20"/>
              </w:rPr>
              <w:t>¿Cómo cambian el Sprint Review y la Retrospectiva cuando desplegamos varias veces por semana? El Review deja de ser una entrega de código estático para convertirse en una demostración científica de valor en producción, mientras que la Retrospectiva pasa de ser una conversación subjetiva a una rigurosa auditoría de la salud del pipeline y de la disciplina TBD.</w:t>
            </w:r>
          </w:p>
        </w:tc>
      </w:tr>
    </w:tbl>
    <w:p/>
    <w:p>
      <w:pPr>
        <w:pStyle w:val="Heading2"/>
      </w:pPr>
      <w:r>
        <w:t>Pregunta de Arranque del Taller</w:t>
      </w:r>
    </w:p>
    <w:p>
      <w:r>
        <w:t>“¿Qué parte del Review o de la Retro actual se siente más ‘antigua’ o poco útil con este nuevo flujo?”</w:t>
        <w:br/>
        <w:br/>
        <w:t>1. En el Sprint Review: Se siente obsoleto esperar 14 días para mostrar un incremento empaquetado en una máquina local. Si el software ya se despliega continuamente, el feedback diferido 'todo o nada' carece de sentido y destruye la agilidad.</w:t>
        <w:br/>
        <w:t>2. En la Sprint Retrospective: Se siente anticuado enfocarse exclusivamente en percepciones interpersonales o estimaciones de puntos de historia, ignorando los datos reales de ingeniería: tiempo de vida de las ramas, fallos en el pipeline de CI/CD, duraciones de despliegue y deuda técnica de toggles.</w:t>
      </w:r>
    </w:p>
    <w:p>
      <w:pPr>
        <w:pStyle w:val="Heading1"/>
      </w:pPr>
      <w:r>
        <w:t>2. Diagnóstico y Resolución del Caso de Estudio</w:t>
      </w:r>
    </w:p>
    <w:p>
      <w:r>
        <w:t>Título del Caso: “La funcionalidad de ‘Pagos Express’ ya está en main, pero nadie se atreve a activarla”</w:t>
        <w:br/>
        <w:t>Contexto: El equipo completó la historia 'Pagos Express con un solo clic', integrada a main hace 9 días bajo el flag 'pagos-express-v1' (OFF al 100%). A continuación, se presenta la matriz de análisis y decisiones tomadas frente a los 7 hechos problemáticos identificados:</w:t>
      </w:r>
    </w:p>
    <w:tbl>
      <w:tblPr>
        <w:tblW w:type="auto" w:w="0"/>
        <w:jc w:val="center"/>
        <w:tblLook w:firstColumn="1" w:firstRow="1" w:lastColumn="0" w:lastRow="0" w:noHBand="0" w:noVBand="1" w:val="04A0"/>
      </w:tblPr>
      <w:tblGrid>
        <w:gridCol w:w="2340"/>
        <w:gridCol w:w="2340"/>
        <w:gridCol w:w="2340"/>
        <w:gridCol w:w="2340"/>
      </w:tblGrid>
      <w:tr>
        <w:tc>
          <w:tcPr>
            <w:tcW w:type="dxa" w:w="720"/>
            <w:shd w:fill="0A2540"/>
            <w:tcMar>
              <w:top w:w="120" w:type="dxa"/>
              <w:bottom w:w="120" w:type="dxa"/>
              <w:left w:w="140" w:type="dxa"/>
              <w:right w:w="140" w:type="dxa"/>
            </w:tcMar>
          </w:tcPr>
          <w:p>
            <w:pPr>
              <w:jc w:val="center"/>
            </w:pPr>
            <w:r>
              <w:rPr>
                <w:rFonts w:ascii="Arial" w:hAnsi="Arial"/>
                <w:b/>
                <w:color w:val="FFFFFF"/>
                <w:sz w:val="19"/>
              </w:rPr>
              <w:t>#</w:t>
            </w:r>
          </w:p>
        </w:tc>
        <w:tc>
          <w:tcPr>
            <w:tcW w:type="dxa" w:w="3168"/>
            <w:shd w:fill="0A2540"/>
            <w:tcMar>
              <w:top w:w="120" w:type="dxa"/>
              <w:bottom w:w="120" w:type="dxa"/>
              <w:left w:w="140" w:type="dxa"/>
              <w:right w:w="140" w:type="dxa"/>
            </w:tcMar>
          </w:tcPr>
          <w:p>
            <w:pPr>
              <w:jc w:val="center"/>
            </w:pPr>
            <w:r>
              <w:rPr>
                <w:rFonts w:ascii="Arial" w:hAnsi="Arial"/>
                <w:b/>
                <w:color w:val="FFFFFF"/>
                <w:sz w:val="19"/>
              </w:rPr>
              <w:t>Hecho Problemático</w:t>
            </w:r>
          </w:p>
        </w:tc>
        <w:tc>
          <w:tcPr>
            <w:tcW w:type="dxa" w:w="2592"/>
            <w:shd w:fill="0A2540"/>
            <w:tcMar>
              <w:top w:w="120" w:type="dxa"/>
              <w:bottom w:w="120" w:type="dxa"/>
              <w:left w:w="140" w:type="dxa"/>
              <w:right w:w="140" w:type="dxa"/>
            </w:tcMar>
          </w:tcPr>
          <w:p>
            <w:pPr>
              <w:jc w:val="center"/>
            </w:pPr>
            <w:r>
              <w:rPr>
                <w:rFonts w:ascii="Arial" w:hAnsi="Arial"/>
                <w:b/>
                <w:color w:val="FFFFFF"/>
                <w:sz w:val="19"/>
              </w:rPr>
              <w:t>Impacto / Riesgo</w:t>
            </w:r>
          </w:p>
        </w:tc>
        <w:tc>
          <w:tcPr>
            <w:tcW w:type="dxa" w:w="2880"/>
            <w:shd w:fill="0A2540"/>
            <w:tcMar>
              <w:top w:w="120" w:type="dxa"/>
              <w:bottom w:w="120" w:type="dxa"/>
              <w:left w:w="140" w:type="dxa"/>
              <w:right w:w="140" w:type="dxa"/>
            </w:tcMar>
          </w:tcPr>
          <w:p>
            <w:pPr>
              <w:jc w:val="center"/>
            </w:pPr>
            <w:r>
              <w:rPr>
                <w:rFonts w:ascii="Arial" w:hAnsi="Arial"/>
                <w:b/>
                <w:color w:val="FFFFFF"/>
                <w:sz w:val="19"/>
              </w:rPr>
              <w:t>Decisión y Solución Técnica</w:t>
            </w:r>
          </w:p>
        </w:tc>
      </w:tr>
      <w:tr>
        <w:tc>
          <w:tcPr>
            <w:tcW w:type="dxa" w:w="720"/>
            <w:shd w:fill="FFFFFF"/>
            <w:tcMar>
              <w:top w:w="80" w:type="dxa"/>
              <w:bottom w:w="80" w:type="dxa"/>
              <w:left w:w="120" w:type="dxa"/>
              <w:right w:w="120" w:type="dxa"/>
            </w:tcMar>
          </w:tcPr>
          <w:p>
            <w:pPr>
              <w:jc w:val="left"/>
            </w:pPr>
            <w:r>
              <w:rPr>
                <w:rFonts w:ascii="Arial" w:hAnsi="Arial"/>
                <w:color w:val="282828"/>
                <w:sz w:val="18"/>
              </w:rPr>
              <w:t>1</w:t>
            </w:r>
          </w:p>
        </w:tc>
        <w:tc>
          <w:tcPr>
            <w:tcW w:type="dxa" w:w="3168"/>
            <w:shd w:fill="FFFFFF"/>
            <w:tcMar>
              <w:top w:w="80" w:type="dxa"/>
              <w:bottom w:w="80" w:type="dxa"/>
              <w:left w:w="120" w:type="dxa"/>
              <w:right w:w="120" w:type="dxa"/>
            </w:tcMar>
          </w:tcPr>
          <w:p>
            <w:r>
              <w:rPr>
                <w:rFonts w:ascii="Arial" w:hAnsi="Arial"/>
                <w:color w:val="282828"/>
                <w:sz w:val="18"/>
              </w:rPr>
              <w:t>PO quiere activar el toggle al 20% este viernes por presión de marketing.</w:t>
            </w:r>
          </w:p>
        </w:tc>
        <w:tc>
          <w:tcPr>
            <w:tcW w:type="dxa" w:w="2592"/>
            <w:shd w:fill="FFFFFF"/>
            <w:tcMar>
              <w:top w:w="80" w:type="dxa"/>
              <w:bottom w:w="80" w:type="dxa"/>
              <w:left w:w="120" w:type="dxa"/>
              <w:right w:w="120" w:type="dxa"/>
            </w:tcMar>
          </w:tcPr>
          <w:p>
            <w:r>
              <w:rPr>
                <w:rFonts w:ascii="Arial" w:hAnsi="Arial"/>
                <w:color w:val="282828"/>
                <w:sz w:val="18"/>
              </w:rPr>
              <w:t>Riesgo alto de caída sin validación previa.</w:t>
            </w:r>
          </w:p>
        </w:tc>
        <w:tc>
          <w:tcPr>
            <w:tcW w:type="dxa" w:w="2880"/>
            <w:shd w:fill="FFFFFF"/>
            <w:tcMar>
              <w:top w:w="80" w:type="dxa"/>
              <w:bottom w:w="80" w:type="dxa"/>
              <w:left w:w="120" w:type="dxa"/>
              <w:right w:w="120" w:type="dxa"/>
            </w:tcMar>
          </w:tcPr>
          <w:p>
            <w:r>
              <w:rPr>
                <w:rFonts w:ascii="Arial" w:hAnsi="Arial"/>
                <w:color w:val="282828"/>
                <w:sz w:val="18"/>
              </w:rPr>
              <w:t>Rollout Canario en 4 etapas: Interno -&gt; 5% -&gt; 20% comercial.</w:t>
            </w:r>
          </w:p>
        </w:tc>
      </w:tr>
      <w:tr>
        <w:tc>
          <w:tcPr>
            <w:tcW w:type="dxa" w:w="720"/>
            <w:shd w:fill="F8FAFC"/>
            <w:tcMar>
              <w:top w:w="80" w:type="dxa"/>
              <w:bottom w:w="80" w:type="dxa"/>
              <w:left w:w="120" w:type="dxa"/>
              <w:right w:w="120" w:type="dxa"/>
            </w:tcMar>
          </w:tcPr>
          <w:p>
            <w:pPr>
              <w:jc w:val="left"/>
            </w:pPr>
            <w:r>
              <w:rPr>
                <w:rFonts w:ascii="Arial" w:hAnsi="Arial"/>
                <w:color w:val="282828"/>
                <w:sz w:val="18"/>
              </w:rPr>
              <w:t>2</w:t>
            </w:r>
          </w:p>
        </w:tc>
        <w:tc>
          <w:tcPr>
            <w:tcW w:type="dxa" w:w="3168"/>
            <w:shd w:fill="F8FAFC"/>
            <w:tcMar>
              <w:top w:w="80" w:type="dxa"/>
              <w:bottom w:w="80" w:type="dxa"/>
              <w:left w:w="120" w:type="dxa"/>
              <w:right w:w="120" w:type="dxa"/>
            </w:tcMar>
          </w:tcPr>
          <w:p>
            <w:r>
              <w:rPr>
                <w:rFonts w:ascii="Arial" w:hAnsi="Arial"/>
                <w:color w:val="282828"/>
                <w:sz w:val="18"/>
              </w:rPr>
              <w:t>Último deploy automático falló health check 11 minutos; rollback manual.</w:t>
            </w:r>
          </w:p>
        </w:tc>
        <w:tc>
          <w:tcPr>
            <w:tcW w:type="dxa" w:w="2592"/>
            <w:shd w:fill="F8FAFC"/>
            <w:tcMar>
              <w:top w:w="80" w:type="dxa"/>
              <w:bottom w:w="80" w:type="dxa"/>
              <w:left w:w="120" w:type="dxa"/>
              <w:right w:w="120" w:type="dxa"/>
            </w:tcMar>
          </w:tcPr>
          <w:p>
            <w:r>
              <w:rPr>
                <w:rFonts w:ascii="Arial" w:hAnsi="Arial"/>
                <w:color w:val="282828"/>
                <w:sz w:val="18"/>
              </w:rPr>
              <w:t>Falta de resiliencia y downtime en Render.</w:t>
            </w:r>
          </w:p>
        </w:tc>
        <w:tc>
          <w:tcPr>
            <w:tcW w:type="dxa" w:w="2880"/>
            <w:shd w:fill="F8FAFC"/>
            <w:tcMar>
              <w:top w:w="80" w:type="dxa"/>
              <w:bottom w:w="80" w:type="dxa"/>
              <w:left w:w="120" w:type="dxa"/>
              <w:right w:w="120" w:type="dxa"/>
            </w:tcMar>
          </w:tcPr>
          <w:p>
            <w:r>
              <w:rPr>
                <w:rFonts w:ascii="Arial" w:hAnsi="Arial"/>
                <w:color w:val="282828"/>
                <w:sz w:val="18"/>
              </w:rPr>
              <w:t>Reingeniería de /health con Liveness/Readiness no bloqueantes (&lt;10ms).</w:t>
            </w:r>
          </w:p>
        </w:tc>
      </w:tr>
      <w:tr>
        <w:tc>
          <w:tcPr>
            <w:tcW w:type="dxa" w:w="720"/>
            <w:shd w:fill="FFFFFF"/>
            <w:tcMar>
              <w:top w:w="80" w:type="dxa"/>
              <w:bottom w:w="80" w:type="dxa"/>
              <w:left w:w="120" w:type="dxa"/>
              <w:right w:w="120" w:type="dxa"/>
            </w:tcMar>
          </w:tcPr>
          <w:p>
            <w:pPr>
              <w:jc w:val="left"/>
            </w:pPr>
            <w:r>
              <w:rPr>
                <w:rFonts w:ascii="Arial" w:hAnsi="Arial"/>
                <w:color w:val="282828"/>
                <w:sz w:val="18"/>
              </w:rPr>
              <w:t>3</w:t>
            </w:r>
          </w:p>
        </w:tc>
        <w:tc>
          <w:tcPr>
            <w:tcW w:type="dxa" w:w="3168"/>
            <w:shd w:fill="FFFFFF"/>
            <w:tcMar>
              <w:top w:w="80" w:type="dxa"/>
              <w:bottom w:w="80" w:type="dxa"/>
              <w:left w:w="120" w:type="dxa"/>
              <w:right w:w="120" w:type="dxa"/>
            </w:tcMar>
          </w:tcPr>
          <w:p>
            <w:r>
              <w:rPr>
                <w:rFonts w:ascii="Arial" w:hAnsi="Arial"/>
                <w:color w:val="282828"/>
                <w:sz w:val="18"/>
              </w:rPr>
              <w:t>3 Feature Toggles llevan &gt; 45 días activos y nadie los ha limpiado.</w:t>
            </w:r>
          </w:p>
        </w:tc>
        <w:tc>
          <w:tcPr>
            <w:tcW w:type="dxa" w:w="2592"/>
            <w:shd w:fill="FFFFFF"/>
            <w:tcMar>
              <w:top w:w="80" w:type="dxa"/>
              <w:bottom w:w="80" w:type="dxa"/>
              <w:left w:w="120" w:type="dxa"/>
              <w:right w:w="120" w:type="dxa"/>
            </w:tcMar>
          </w:tcPr>
          <w:p>
            <w:r>
              <w:rPr>
                <w:rFonts w:ascii="Arial" w:hAnsi="Arial"/>
                <w:color w:val="282828"/>
                <w:sz w:val="18"/>
              </w:rPr>
              <w:t>Deuda técnica y código muerto acumulado.</w:t>
            </w:r>
          </w:p>
        </w:tc>
        <w:tc>
          <w:tcPr>
            <w:tcW w:type="dxa" w:w="2880"/>
            <w:shd w:fill="FFFFFF"/>
            <w:tcMar>
              <w:top w:w="80" w:type="dxa"/>
              <w:bottom w:w="80" w:type="dxa"/>
              <w:left w:w="120" w:type="dxa"/>
              <w:right w:w="120" w:type="dxa"/>
            </w:tcMar>
          </w:tcPr>
          <w:p>
            <w:r>
              <w:rPr>
                <w:rFonts w:ascii="Arial" w:hAnsi="Arial"/>
                <w:color w:val="282828"/>
                <w:sz w:val="18"/>
              </w:rPr>
              <w:t>Política v3.0: caducidad a 30 días y ejecución de cleanup.</w:t>
            </w:r>
          </w:p>
        </w:tc>
      </w:tr>
      <w:tr>
        <w:tc>
          <w:tcPr>
            <w:tcW w:type="dxa" w:w="720"/>
            <w:shd w:fill="F8FAFC"/>
            <w:tcMar>
              <w:top w:w="80" w:type="dxa"/>
              <w:bottom w:w="80" w:type="dxa"/>
              <w:left w:w="120" w:type="dxa"/>
              <w:right w:w="120" w:type="dxa"/>
            </w:tcMar>
          </w:tcPr>
          <w:p>
            <w:pPr>
              <w:jc w:val="left"/>
            </w:pPr>
            <w:r>
              <w:rPr>
                <w:rFonts w:ascii="Arial" w:hAnsi="Arial"/>
                <w:color w:val="282828"/>
                <w:sz w:val="18"/>
              </w:rPr>
              <w:t>4</w:t>
            </w:r>
          </w:p>
        </w:tc>
        <w:tc>
          <w:tcPr>
            <w:tcW w:type="dxa" w:w="3168"/>
            <w:shd w:fill="F8FAFC"/>
            <w:tcMar>
              <w:top w:w="80" w:type="dxa"/>
              <w:bottom w:w="80" w:type="dxa"/>
              <w:left w:w="120" w:type="dxa"/>
              <w:right w:w="120" w:type="dxa"/>
            </w:tcMar>
          </w:tcPr>
          <w:p>
            <w:r>
              <w:rPr>
                <w:rFonts w:ascii="Arial" w:hAnsi="Arial"/>
                <w:color w:val="282828"/>
                <w:sz w:val="18"/>
              </w:rPr>
              <w:t>Solo 4 integraciones a main en el sprint (lejos de la meta diaria).</w:t>
            </w:r>
          </w:p>
        </w:tc>
        <w:tc>
          <w:tcPr>
            <w:tcW w:type="dxa" w:w="2592"/>
            <w:shd w:fill="F8FAFC"/>
            <w:tcMar>
              <w:top w:w="80" w:type="dxa"/>
              <w:bottom w:w="80" w:type="dxa"/>
              <w:left w:w="120" w:type="dxa"/>
              <w:right w:w="120" w:type="dxa"/>
            </w:tcMar>
          </w:tcPr>
          <w:p>
            <w:r>
              <w:rPr>
                <w:rFonts w:ascii="Arial" w:hAnsi="Arial"/>
                <w:color w:val="282828"/>
                <w:sz w:val="18"/>
              </w:rPr>
              <w:t>Pérdida de cadencia TBD y acumulación de ramas.</w:t>
            </w:r>
          </w:p>
        </w:tc>
        <w:tc>
          <w:tcPr>
            <w:tcW w:type="dxa" w:w="2880"/>
            <w:shd w:fill="F8FAFC"/>
            <w:tcMar>
              <w:top w:w="80" w:type="dxa"/>
              <w:bottom w:w="80" w:type="dxa"/>
              <w:left w:w="120" w:type="dxa"/>
              <w:right w:w="120" w:type="dxa"/>
            </w:tcMar>
          </w:tcPr>
          <w:p>
            <w:r>
              <w:rPr>
                <w:rFonts w:ascii="Arial" w:hAnsi="Arial"/>
                <w:color w:val="282828"/>
                <w:sz w:val="18"/>
              </w:rPr>
              <w:t>Vertical slicing fino (&lt;200 líneas) y protección con toggles.</w:t>
            </w:r>
          </w:p>
        </w:tc>
      </w:tr>
      <w:tr>
        <w:tc>
          <w:tcPr>
            <w:tcW w:type="dxa" w:w="720"/>
            <w:shd w:fill="FFFFFF"/>
            <w:tcMar>
              <w:top w:w="80" w:type="dxa"/>
              <w:bottom w:w="80" w:type="dxa"/>
              <w:left w:w="120" w:type="dxa"/>
              <w:right w:w="120" w:type="dxa"/>
            </w:tcMar>
          </w:tcPr>
          <w:p>
            <w:pPr>
              <w:jc w:val="left"/>
            </w:pPr>
            <w:r>
              <w:rPr>
                <w:rFonts w:ascii="Arial" w:hAnsi="Arial"/>
                <w:color w:val="282828"/>
                <w:sz w:val="18"/>
              </w:rPr>
              <w:t>5</w:t>
            </w:r>
          </w:p>
        </w:tc>
        <w:tc>
          <w:tcPr>
            <w:tcW w:type="dxa" w:w="3168"/>
            <w:shd w:fill="FFFFFF"/>
            <w:tcMar>
              <w:top w:w="80" w:type="dxa"/>
              <w:bottom w:w="80" w:type="dxa"/>
              <w:left w:w="120" w:type="dxa"/>
              <w:right w:w="120" w:type="dxa"/>
            </w:tcMar>
          </w:tcPr>
          <w:p>
            <w:r>
              <w:rPr>
                <w:rFonts w:ascii="Arial" w:hAnsi="Arial"/>
                <w:color w:val="282828"/>
                <w:sz w:val="18"/>
              </w:rPr>
              <w:t>Rama viva 4 días por test flaky que ponía el CI en rojo.</w:t>
            </w:r>
          </w:p>
        </w:tc>
        <w:tc>
          <w:tcPr>
            <w:tcW w:type="dxa" w:w="2592"/>
            <w:shd w:fill="FFFFFF"/>
            <w:tcMar>
              <w:top w:w="80" w:type="dxa"/>
              <w:bottom w:w="80" w:type="dxa"/>
              <w:left w:w="120" w:type="dxa"/>
              <w:right w:w="120" w:type="dxa"/>
            </w:tcMar>
          </w:tcPr>
          <w:p>
            <w:r>
              <w:rPr>
                <w:rFonts w:ascii="Arial" w:hAnsi="Arial"/>
                <w:color w:val="282828"/>
                <w:sz w:val="18"/>
              </w:rPr>
              <w:t>Miedo del equipo a integrar y retraso en entrega.</w:t>
            </w:r>
          </w:p>
        </w:tc>
        <w:tc>
          <w:tcPr>
            <w:tcW w:type="dxa" w:w="2880"/>
            <w:shd w:fill="FFFFFF"/>
            <w:tcMar>
              <w:top w:w="80" w:type="dxa"/>
              <w:bottom w:w="80" w:type="dxa"/>
              <w:left w:w="120" w:type="dxa"/>
              <w:right w:w="120" w:type="dxa"/>
            </w:tcMar>
          </w:tcPr>
          <w:p>
            <w:r>
              <w:rPr>
                <w:rFonts w:ascii="Arial" w:hAnsi="Arial"/>
                <w:color w:val="282828"/>
                <w:sz w:val="18"/>
              </w:rPr>
              <w:t>Protocolo de cuarentena inmediata y test determinista con mocks.</w:t>
            </w:r>
          </w:p>
        </w:tc>
      </w:tr>
      <w:tr>
        <w:tc>
          <w:tcPr>
            <w:tcW w:type="dxa" w:w="720"/>
            <w:shd w:fill="F8FAFC"/>
            <w:tcMar>
              <w:top w:w="80" w:type="dxa"/>
              <w:bottom w:w="80" w:type="dxa"/>
              <w:left w:w="120" w:type="dxa"/>
              <w:right w:w="120" w:type="dxa"/>
            </w:tcMar>
          </w:tcPr>
          <w:p>
            <w:pPr>
              <w:jc w:val="left"/>
            </w:pPr>
            <w:r>
              <w:rPr>
                <w:rFonts w:ascii="Arial" w:hAnsi="Arial"/>
                <w:color w:val="282828"/>
                <w:sz w:val="18"/>
              </w:rPr>
              <w:t>6</w:t>
            </w:r>
          </w:p>
        </w:tc>
        <w:tc>
          <w:tcPr>
            <w:tcW w:type="dxa" w:w="3168"/>
            <w:shd w:fill="F8FAFC"/>
            <w:tcMar>
              <w:top w:w="80" w:type="dxa"/>
              <w:bottom w:w="80" w:type="dxa"/>
              <w:left w:w="120" w:type="dxa"/>
              <w:right w:w="120" w:type="dxa"/>
            </w:tcMar>
          </w:tcPr>
          <w:p>
            <w:r>
              <w:rPr>
                <w:rFonts w:ascii="Arial" w:hAnsi="Arial"/>
                <w:color w:val="282828"/>
                <w:sz w:val="18"/>
              </w:rPr>
              <w:t>No existe métrica de conversión o error para observar el toggle.</w:t>
            </w:r>
          </w:p>
        </w:tc>
        <w:tc>
          <w:tcPr>
            <w:tcW w:type="dxa" w:w="2592"/>
            <w:shd w:fill="F8FAFC"/>
            <w:tcMar>
              <w:top w:w="80" w:type="dxa"/>
              <w:bottom w:w="80" w:type="dxa"/>
              <w:left w:w="120" w:type="dxa"/>
              <w:right w:w="120" w:type="dxa"/>
            </w:tcMar>
          </w:tcPr>
          <w:p>
            <w:r>
              <w:rPr>
                <w:rFonts w:ascii="Arial" w:hAnsi="Arial"/>
                <w:color w:val="282828"/>
                <w:sz w:val="18"/>
              </w:rPr>
              <w:t>Ceguera operativa al encender la funcionalidad.</w:t>
            </w:r>
          </w:p>
        </w:tc>
        <w:tc>
          <w:tcPr>
            <w:tcW w:type="dxa" w:w="2880"/>
            <w:shd w:fill="F8FAFC"/>
            <w:tcMar>
              <w:top w:w="80" w:type="dxa"/>
              <w:bottom w:w="80" w:type="dxa"/>
              <w:left w:w="120" w:type="dxa"/>
              <w:right w:w="120" w:type="dxa"/>
            </w:tcMar>
          </w:tcPr>
          <w:p>
            <w:r>
              <w:rPr>
                <w:rFonts w:ascii="Arial" w:hAnsi="Arial"/>
                <w:color w:val="282828"/>
                <w:sz w:val="18"/>
              </w:rPr>
              <w:t>Módulo de telemetría (/api/v1/metrics) con Golden Signals.</w:t>
            </w:r>
          </w:p>
        </w:tc>
      </w:tr>
      <w:tr>
        <w:tc>
          <w:tcPr>
            <w:tcW w:type="dxa" w:w="720"/>
            <w:shd w:fill="FFFFFF"/>
            <w:tcMar>
              <w:top w:w="80" w:type="dxa"/>
              <w:bottom w:w="80" w:type="dxa"/>
              <w:left w:w="120" w:type="dxa"/>
              <w:right w:w="120" w:type="dxa"/>
            </w:tcMar>
          </w:tcPr>
          <w:p>
            <w:pPr>
              <w:jc w:val="left"/>
            </w:pPr>
            <w:r>
              <w:rPr>
                <w:rFonts w:ascii="Arial" w:hAnsi="Arial"/>
                <w:color w:val="282828"/>
                <w:sz w:val="18"/>
              </w:rPr>
              <w:t>7</w:t>
            </w:r>
          </w:p>
        </w:tc>
        <w:tc>
          <w:tcPr>
            <w:tcW w:type="dxa" w:w="3168"/>
            <w:shd w:fill="FFFFFF"/>
            <w:tcMar>
              <w:top w:w="80" w:type="dxa"/>
              <w:bottom w:w="80" w:type="dxa"/>
              <w:left w:w="120" w:type="dxa"/>
              <w:right w:w="120" w:type="dxa"/>
            </w:tcMar>
          </w:tcPr>
          <w:p>
            <w:r>
              <w:rPr>
                <w:rFonts w:ascii="Arial" w:hAnsi="Arial"/>
                <w:color w:val="282828"/>
                <w:sz w:val="18"/>
              </w:rPr>
              <w:t>Stakeholder anunció que 'Pagos Express ya está listo'.</w:t>
            </w:r>
          </w:p>
        </w:tc>
        <w:tc>
          <w:tcPr>
            <w:tcW w:type="dxa" w:w="2592"/>
            <w:shd w:fill="FFFFFF"/>
            <w:tcMar>
              <w:top w:w="80" w:type="dxa"/>
              <w:bottom w:w="80" w:type="dxa"/>
              <w:left w:w="120" w:type="dxa"/>
              <w:right w:w="120" w:type="dxa"/>
            </w:tcMar>
          </w:tcPr>
          <w:p>
            <w:r>
              <w:rPr>
                <w:rFonts w:ascii="Arial" w:hAnsi="Arial"/>
                <w:color w:val="282828"/>
                <w:sz w:val="18"/>
              </w:rPr>
              <w:t>Confusión entre deploy técnico y release comercial.</w:t>
            </w:r>
          </w:p>
        </w:tc>
        <w:tc>
          <w:tcPr>
            <w:tcW w:type="dxa" w:w="2880"/>
            <w:shd w:fill="FFFFFF"/>
            <w:tcMar>
              <w:top w:w="80" w:type="dxa"/>
              <w:bottom w:w="80" w:type="dxa"/>
              <w:left w:w="120" w:type="dxa"/>
              <w:right w:w="120" w:type="dxa"/>
            </w:tcMar>
          </w:tcPr>
          <w:p>
            <w:r>
              <w:rPr>
                <w:rFonts w:ascii="Arial" w:hAnsi="Arial"/>
                <w:color w:val="282828"/>
                <w:sz w:val="18"/>
              </w:rPr>
              <w:t>Alineación en Playbook: Despliegue ≠ Lanzamiento comercial.</w:t>
            </w:r>
          </w:p>
        </w:tc>
      </w:tr>
    </w:tbl>
    <w:p>
      <w:pPr>
        <w:spacing w:after="200"/>
      </w:pPr>
    </w:p>
    <w:p>
      <w:pPr>
        <w:pStyle w:val="Heading1"/>
      </w:pPr>
      <w:r>
        <w:t>3. Adaptación del Sprint Review al Continuous Deployment</w:t>
      </w:r>
    </w:p>
    <w:p>
      <w:pPr>
        <w:pStyle w:val="Heading2"/>
      </w:pPr>
      <w:r>
        <w:t>3.1 Principios del Nuevo Review</w:t>
      </w:r>
    </w:p>
    <w:tbl>
      <w:tblPr>
        <w:tblW w:type="auto" w:w="0"/>
        <w:jc w:val="center"/>
        <w:tblLook w:firstColumn="1" w:firstRow="1" w:lastColumn="0" w:lastRow="0" w:noHBand="0" w:noVBand="1" w:val="04A0"/>
      </w:tblPr>
      <w:tblGrid>
        <w:gridCol w:w="3120"/>
        <w:gridCol w:w="3120"/>
        <w:gridCol w:w="3120"/>
      </w:tblGrid>
      <w:tr>
        <w:tc>
          <w:tcPr>
            <w:tcW w:type="dxa" w:w="2880"/>
            <w:shd w:fill="0A2540"/>
            <w:tcMar>
              <w:top w:w="120" w:type="dxa"/>
              <w:bottom w:w="120" w:type="dxa"/>
              <w:left w:w="140" w:type="dxa"/>
              <w:right w:w="140" w:type="dxa"/>
            </w:tcMar>
          </w:tcPr>
          <w:p>
            <w:pPr>
              <w:jc w:val="center"/>
            </w:pPr>
            <w:r>
              <w:rPr>
                <w:rFonts w:ascii="Arial" w:hAnsi="Arial"/>
                <w:b/>
                <w:color w:val="FFFFFF"/>
                <w:sz w:val="19"/>
              </w:rPr>
              <w:t>Dimensión</w:t>
            </w:r>
          </w:p>
        </w:tc>
        <w:tc>
          <w:tcPr>
            <w:tcW w:type="dxa" w:w="3168"/>
            <w:shd w:fill="0A2540"/>
            <w:tcMar>
              <w:top w:w="120" w:type="dxa"/>
              <w:bottom w:w="120" w:type="dxa"/>
              <w:left w:w="140" w:type="dxa"/>
              <w:right w:w="140" w:type="dxa"/>
            </w:tcMar>
          </w:tcPr>
          <w:p>
            <w:pPr>
              <w:jc w:val="center"/>
            </w:pPr>
            <w:r>
              <w:rPr>
                <w:rFonts w:ascii="Arial" w:hAnsi="Arial"/>
                <w:b/>
                <w:color w:val="FFFFFF"/>
                <w:sz w:val="19"/>
              </w:rPr>
              <w:t>Review Clásico (Scrum Antiguo)</w:t>
            </w:r>
          </w:p>
        </w:tc>
        <w:tc>
          <w:tcPr>
            <w:tcW w:type="dxa" w:w="3312"/>
            <w:shd w:fill="0A2540"/>
            <w:tcMar>
              <w:top w:w="120" w:type="dxa"/>
              <w:bottom w:w="120" w:type="dxa"/>
              <w:left w:w="140" w:type="dxa"/>
              <w:right w:w="140" w:type="dxa"/>
            </w:tcMar>
          </w:tcPr>
          <w:p>
            <w:pPr>
              <w:jc w:val="center"/>
            </w:pPr>
            <w:r>
              <w:rPr>
                <w:rFonts w:ascii="Arial" w:hAnsi="Arial"/>
                <w:b/>
                <w:color w:val="FFFFFF"/>
                <w:sz w:val="19"/>
              </w:rPr>
              <w:t>Review en CD + TBD (Flujo Moderno)</w:t>
            </w:r>
          </w:p>
        </w:tc>
      </w:tr>
      <w:tr>
        <w:tc>
          <w:tcPr>
            <w:tcW w:type="dxa" w:w="2880"/>
            <w:shd w:fill="FFFFFF"/>
            <w:tcMar>
              <w:top w:w="80" w:type="dxa"/>
              <w:bottom w:w="80" w:type="dxa"/>
              <w:left w:w="120" w:type="dxa"/>
              <w:right w:w="120" w:type="dxa"/>
            </w:tcMar>
          </w:tcPr>
          <w:p>
            <w:pPr>
              <w:jc w:val="left"/>
            </w:pPr>
            <w:r>
              <w:rPr>
                <w:rFonts w:ascii="Arial" w:hAnsi="Arial"/>
                <w:color w:val="282828"/>
                <w:sz w:val="18"/>
              </w:rPr>
              <w:t>Entorno de Demostración</w:t>
            </w:r>
          </w:p>
        </w:tc>
        <w:tc>
          <w:tcPr>
            <w:tcW w:type="dxa" w:w="3168"/>
            <w:shd w:fill="FFFFFF"/>
            <w:tcMar>
              <w:top w:w="80" w:type="dxa"/>
              <w:bottom w:w="80" w:type="dxa"/>
              <w:left w:w="120" w:type="dxa"/>
              <w:right w:w="120" w:type="dxa"/>
            </w:tcMar>
          </w:tcPr>
          <w:p>
            <w:r>
              <w:rPr>
                <w:rFonts w:ascii="Arial" w:hAnsi="Arial"/>
                <w:color w:val="282828"/>
                <w:sz w:val="18"/>
              </w:rPr>
              <w:t>Local o Staging aislado y desactualizado.</w:t>
            </w:r>
          </w:p>
        </w:tc>
        <w:tc>
          <w:tcPr>
            <w:tcW w:type="dxa" w:w="3312"/>
            <w:shd w:fill="FFFFFF"/>
            <w:tcMar>
              <w:top w:w="80" w:type="dxa"/>
              <w:bottom w:w="80" w:type="dxa"/>
              <w:left w:w="120" w:type="dxa"/>
              <w:right w:w="120" w:type="dxa"/>
            </w:tcMar>
          </w:tcPr>
          <w:p>
            <w:r>
              <w:rPr>
                <w:rFonts w:ascii="Arial" w:hAnsi="Arial"/>
                <w:color w:val="282828"/>
                <w:sz w:val="18"/>
              </w:rPr>
              <w:t>Producción real en Render con datos vivos.</w:t>
            </w:r>
          </w:p>
        </w:tc>
      </w:tr>
      <w:tr>
        <w:tc>
          <w:tcPr>
            <w:tcW w:type="dxa" w:w="2880"/>
            <w:shd w:fill="F8FAFC"/>
            <w:tcMar>
              <w:top w:w="80" w:type="dxa"/>
              <w:bottom w:w="80" w:type="dxa"/>
              <w:left w:w="120" w:type="dxa"/>
              <w:right w:w="120" w:type="dxa"/>
            </w:tcMar>
          </w:tcPr>
          <w:p>
            <w:pPr>
              <w:jc w:val="left"/>
            </w:pPr>
            <w:r>
              <w:rPr>
                <w:rFonts w:ascii="Arial" w:hAnsi="Arial"/>
                <w:color w:val="282828"/>
                <w:sz w:val="18"/>
              </w:rPr>
              <w:t>Naturaleza de Entrega</w:t>
            </w:r>
          </w:p>
        </w:tc>
        <w:tc>
          <w:tcPr>
            <w:tcW w:type="dxa" w:w="3168"/>
            <w:shd w:fill="F8FAFC"/>
            <w:tcMar>
              <w:top w:w="80" w:type="dxa"/>
              <w:bottom w:w="80" w:type="dxa"/>
              <w:left w:w="120" w:type="dxa"/>
              <w:right w:w="120" w:type="dxa"/>
            </w:tcMar>
          </w:tcPr>
          <w:p>
            <w:r>
              <w:rPr>
                <w:rFonts w:ascii="Arial" w:hAnsi="Arial"/>
                <w:color w:val="282828"/>
                <w:sz w:val="18"/>
              </w:rPr>
              <w:t>Todo o nada (incremento monolítico).</w:t>
            </w:r>
          </w:p>
        </w:tc>
        <w:tc>
          <w:tcPr>
            <w:tcW w:type="dxa" w:w="3312"/>
            <w:shd w:fill="F8FAFC"/>
            <w:tcMar>
              <w:top w:w="80" w:type="dxa"/>
              <w:bottom w:w="80" w:type="dxa"/>
              <w:left w:w="120" w:type="dxa"/>
              <w:right w:w="120" w:type="dxa"/>
            </w:tcMar>
          </w:tcPr>
          <w:p>
            <w:r>
              <w:rPr>
                <w:rFonts w:ascii="Arial" w:hAnsi="Arial"/>
                <w:color w:val="282828"/>
                <w:sz w:val="18"/>
              </w:rPr>
              <w:t>Valor incremental gobernado por Feature Flags.</w:t>
            </w:r>
          </w:p>
        </w:tc>
      </w:tr>
      <w:tr>
        <w:tc>
          <w:tcPr>
            <w:tcW w:type="dxa" w:w="2880"/>
            <w:shd w:fill="FFFFFF"/>
            <w:tcMar>
              <w:top w:w="80" w:type="dxa"/>
              <w:bottom w:w="80" w:type="dxa"/>
              <w:left w:w="120" w:type="dxa"/>
              <w:right w:w="120" w:type="dxa"/>
            </w:tcMar>
          </w:tcPr>
          <w:p>
            <w:pPr>
              <w:jc w:val="left"/>
            </w:pPr>
            <w:r>
              <w:rPr>
                <w:rFonts w:ascii="Arial" w:hAnsi="Arial"/>
                <w:color w:val="282828"/>
                <w:sz w:val="18"/>
              </w:rPr>
              <w:t>Frecuencia de Feedback</w:t>
            </w:r>
          </w:p>
        </w:tc>
        <w:tc>
          <w:tcPr>
            <w:tcW w:type="dxa" w:w="3168"/>
            <w:shd w:fill="FFFFFF"/>
            <w:tcMar>
              <w:top w:w="80" w:type="dxa"/>
              <w:bottom w:w="80" w:type="dxa"/>
              <w:left w:w="120" w:type="dxa"/>
              <w:right w:w="120" w:type="dxa"/>
            </w:tcMar>
          </w:tcPr>
          <w:p>
            <w:r>
              <w:rPr>
                <w:rFonts w:ascii="Arial" w:hAnsi="Arial"/>
                <w:color w:val="282828"/>
                <w:sz w:val="18"/>
              </w:rPr>
              <w:t>Diferido cada 2-3 semanas.</w:t>
            </w:r>
          </w:p>
        </w:tc>
        <w:tc>
          <w:tcPr>
            <w:tcW w:type="dxa" w:w="3312"/>
            <w:shd w:fill="FFFFFF"/>
            <w:tcMar>
              <w:top w:w="80" w:type="dxa"/>
              <w:bottom w:w="80" w:type="dxa"/>
              <w:left w:w="120" w:type="dxa"/>
              <w:right w:w="120" w:type="dxa"/>
            </w:tcMar>
          </w:tcPr>
          <w:p>
            <w:r>
              <w:rPr>
                <w:rFonts w:ascii="Arial" w:hAnsi="Arial"/>
                <w:color w:val="282828"/>
                <w:sz w:val="18"/>
              </w:rPr>
              <w:t>Continuo, inmediato y basado en telemetría.</w:t>
            </w:r>
          </w:p>
        </w:tc>
      </w:tr>
      <w:tr>
        <w:tc>
          <w:tcPr>
            <w:tcW w:type="dxa" w:w="2880"/>
            <w:shd w:fill="F8FAFC"/>
            <w:tcMar>
              <w:top w:w="80" w:type="dxa"/>
              <w:bottom w:w="80" w:type="dxa"/>
              <w:left w:w="120" w:type="dxa"/>
              <w:right w:w="120" w:type="dxa"/>
            </w:tcMar>
          </w:tcPr>
          <w:p>
            <w:pPr>
              <w:jc w:val="left"/>
            </w:pPr>
            <w:r>
              <w:rPr>
                <w:rFonts w:ascii="Arial" w:hAnsi="Arial"/>
                <w:color w:val="282828"/>
                <w:sz w:val="18"/>
              </w:rPr>
              <w:t>Foco de la Reunión</w:t>
            </w:r>
          </w:p>
        </w:tc>
        <w:tc>
          <w:tcPr>
            <w:tcW w:type="dxa" w:w="3168"/>
            <w:shd w:fill="F8FAFC"/>
            <w:tcMar>
              <w:top w:w="80" w:type="dxa"/>
              <w:bottom w:w="80" w:type="dxa"/>
              <w:left w:w="120" w:type="dxa"/>
              <w:right w:w="120" w:type="dxa"/>
            </w:tcMar>
          </w:tcPr>
          <w:p>
            <w:r>
              <w:rPr>
                <w:rFonts w:ascii="Arial" w:hAnsi="Arial"/>
                <w:color w:val="282828"/>
                <w:sz w:val="18"/>
              </w:rPr>
              <w:t>¿Qué construimos? (Puntos quemados).</w:t>
            </w:r>
          </w:p>
        </w:tc>
        <w:tc>
          <w:tcPr>
            <w:tcW w:type="dxa" w:w="3312"/>
            <w:shd w:fill="F8FAFC"/>
            <w:tcMar>
              <w:top w:w="80" w:type="dxa"/>
              <w:bottom w:w="80" w:type="dxa"/>
              <w:left w:w="120" w:type="dxa"/>
              <w:right w:w="120" w:type="dxa"/>
            </w:tcMar>
          </w:tcPr>
          <w:p>
            <w:r>
              <w:rPr>
                <w:rFonts w:ascii="Arial" w:hAnsi="Arial"/>
                <w:color w:val="282828"/>
                <w:sz w:val="18"/>
              </w:rPr>
              <w:t>¿Qué valor recibieron los usuarios y qué dicen los datos?</w:t>
            </w:r>
          </w:p>
        </w:tc>
      </w:tr>
    </w:tbl>
    <w:p>
      <w:pPr>
        <w:spacing w:after="200"/>
      </w:pPr>
    </w:p>
    <w:p>
      <w:pPr>
        <w:pStyle w:val="Heading2"/>
      </w:pPr>
      <w:r>
        <w:t>3.2 Simulación de Sprint Review: 3 Incrementos Reales</w:t>
      </w:r>
    </w:p>
    <w:p>
      <w:pPr>
        <w:pStyle w:val="Heading3"/>
      </w:pPr>
      <w:r>
        <w:t>Incremento 1: Módulo de Pagos Express con un Clic (Toggle)</w:t>
      </w:r>
    </w:p>
    <w:p>
      <w:r>
        <w:t>• Problema resuelto: Reduce la fricción de compra eliminando 3 pantallas de llenado de formularios.</w:t>
        <w:br/>
        <w:t>• Estado de activación: Protegido por el toggle 'pagos-express-v1' (ConfigCat).</w:t>
        <w:br/>
        <w:t>• Demo en vivo en Render: Se demuestra la alternancia entre el flujo estándar de 3 pasos (Toggle OFF) y el flujo Express tokenizado con 1 solo clic (Toggle ON).</w:t>
        <w:br/>
        <w:t>• Métrica de valor: Latencia reducida de 450 ms a 42 ms. Tasa de éxito del 100%.</w:t>
        <w:br/>
        <w:t>• Pregunta al PO: “¿Considera que este flujo cumple los criterios para habilitarse al 20% comercial?” -&gt; Aprobado bajo monitoreo.</w:t>
      </w:r>
    </w:p>
    <w:p>
      <w:pPr>
        <w:pStyle w:val="Heading3"/>
      </w:pPr>
      <w:r>
        <w:t>Incremento 2: Healthcheck Proactivo con Liveness &amp; Readiness Probes</w:t>
      </w:r>
    </w:p>
    <w:p>
      <w:r>
        <w:t>• Problema resuelto: Soluciona el incidente de 11 minutos de inactividad durante el despliegue automático.</w:t>
        <w:br/>
        <w:t>• Estado de activación: Activo al 100% en producción.</w:t>
        <w:br/>
        <w:t>• Demo en vivo: Endpoint /health responde 200 OK en 4 ms sin dependencias bloqueantes.</w:t>
        <w:br/>
        <w:t>• Métrica de valor: Cero fallos de orquestación en los últimos 15 despliegues a Render.</w:t>
      </w:r>
    </w:p>
    <w:p>
      <w:pPr>
        <w:pStyle w:val="Heading3"/>
      </w:pPr>
      <w:r>
        <w:t>Incremento 3: Telemetría y Observabilidad de Pagos en Tiempo Real</w:t>
      </w:r>
    </w:p>
    <w:p>
      <w:r>
        <w:t>• Problema resuelto: Elimina la ceguera operativa antes de encender funcionalidades comerciales.</w:t>
        <w:br/>
        <w:t>• Estado de activación: Activo al 100% en producción.</w:t>
        <w:br/>
        <w:t>• Demo en vivo: Endpoint /api/v1/metrics expone tasas de error, conversiones y tiempos de respuesta.</w:t>
        <w:br/>
        <w:t>• Métrica de valor: Permite activar el Kill-Switch automático si el error rate supera el 1.5%.</w:t>
      </w:r>
    </w:p>
    <w:p>
      <w:pPr>
        <w:pStyle w:val="Heading1"/>
      </w:pPr>
      <w:r>
        <w:t>4. Adaptación de la Sprint Retrospective</w:t>
      </w:r>
    </w:p>
    <w:p>
      <w:pPr>
        <w:pStyle w:val="Heading2"/>
      </w:pPr>
      <w:r>
        <w:t>4.1 Nuevos Focos Obligatorios de la Retro</w:t>
      </w:r>
    </w:p>
    <w:p>
      <w:r>
        <w:t>1. Salud del Pipeline: 3 roturas de CI por tests inestables; tiempo medio de build: 1m 45s; 1 rollback manual crítico por healthcheck colgado.</w:t>
        <w:br/>
        <w:t>2. Disciplina TBD: Solo 4 integraciones en el sprint (meta: diaria); 1 rama vivió 4 días por miedo al CI rojo; 3 toggles técnicos acumulaban &gt; 45 días sin retirar.</w:t>
        <w:br/>
        <w:t>3. Flujo de Valor: Lead Time for Changes se infló a 9 días; el valor no había llegado al usuario final por temor a la activación sin métricas.</w:t>
      </w:r>
    </w:p>
    <w:p>
      <w:pPr>
        <w:pStyle w:val="Heading2"/>
      </w:pPr>
      <w:r>
        <w:t>4.2 Tablero de Retrospectiva (Miro)</w:t>
      </w:r>
    </w:p>
    <w:tbl>
      <w:tblPr>
        <w:tblW w:type="auto" w:w="0"/>
        <w:jc w:val="center"/>
        <w:tblLook w:firstColumn="1" w:firstRow="1" w:lastColumn="0" w:lastRow="0" w:noHBand="0" w:noVBand="1" w:val="04A0"/>
      </w:tblPr>
      <w:tblGrid>
        <w:gridCol w:w="3120"/>
        <w:gridCol w:w="3120"/>
        <w:gridCol w:w="3120"/>
      </w:tblGrid>
      <w:tr>
        <w:tc>
          <w:tcPr>
            <w:tcW w:type="dxa" w:w="3024"/>
            <w:shd w:fill="1A365D"/>
            <w:tcMar>
              <w:top w:w="120" w:type="dxa"/>
              <w:bottom w:w="120" w:type="dxa"/>
              <w:left w:w="140" w:type="dxa"/>
              <w:right w:w="140" w:type="dxa"/>
            </w:tcMar>
          </w:tcPr>
          <w:p>
            <w:pPr>
              <w:jc w:val="center"/>
            </w:pPr>
            <w:r>
              <w:rPr>
                <w:rFonts w:ascii="Arial" w:hAnsi="Arial"/>
                <w:b/>
                <w:color w:val="FFFFFF"/>
                <w:sz w:val="19"/>
              </w:rPr>
              <w:t>🟢 Lo que Funcionó Bien</w:t>
            </w:r>
          </w:p>
        </w:tc>
        <w:tc>
          <w:tcPr>
            <w:tcW w:type="dxa" w:w="3168"/>
            <w:shd w:fill="1A365D"/>
            <w:tcMar>
              <w:top w:w="120" w:type="dxa"/>
              <w:bottom w:w="120" w:type="dxa"/>
              <w:left w:w="140" w:type="dxa"/>
              <w:right w:w="140" w:type="dxa"/>
            </w:tcMar>
          </w:tcPr>
          <w:p>
            <w:pPr>
              <w:jc w:val="center"/>
            </w:pPr>
            <w:r>
              <w:rPr>
                <w:rFonts w:ascii="Arial" w:hAnsi="Arial"/>
                <w:b/>
                <w:color w:val="FFFFFF"/>
                <w:sz w:val="19"/>
              </w:rPr>
              <w:t>🟡 Lo que Generó Fricción</w:t>
            </w:r>
          </w:p>
        </w:tc>
        <w:tc>
          <w:tcPr>
            <w:tcW w:type="dxa" w:w="3168"/>
            <w:shd w:fill="1A365D"/>
            <w:tcMar>
              <w:top w:w="120" w:type="dxa"/>
              <w:bottom w:w="120" w:type="dxa"/>
              <w:left w:w="140" w:type="dxa"/>
              <w:right w:w="140" w:type="dxa"/>
            </w:tcMar>
          </w:tcPr>
          <w:p>
            <w:pPr>
              <w:jc w:val="center"/>
            </w:pPr>
            <w:r>
              <w:rPr>
                <w:rFonts w:ascii="Arial" w:hAnsi="Arial"/>
                <w:b/>
                <w:color w:val="FFFFFF"/>
                <w:sz w:val="19"/>
              </w:rPr>
              <w:t>🔴 Lo que Rompió el Flujo / Causó Miedo</w:t>
            </w:r>
          </w:p>
        </w:tc>
      </w:tr>
      <w:tr>
        <w:tc>
          <w:tcPr>
            <w:tcW w:type="dxa" w:w="3024"/>
            <w:shd w:fill="FFFFFF"/>
            <w:tcMar>
              <w:top w:w="80" w:type="dxa"/>
              <w:bottom w:w="80" w:type="dxa"/>
              <w:left w:w="120" w:type="dxa"/>
              <w:right w:w="120" w:type="dxa"/>
            </w:tcMar>
          </w:tcPr>
          <w:p>
            <w:pPr>
              <w:jc w:val="left"/>
            </w:pPr>
            <w:r>
              <w:rPr>
                <w:rFonts w:ascii="Arial" w:hAnsi="Arial"/>
                <w:color w:val="282828"/>
                <w:sz w:val="18"/>
              </w:rPr>
              <w:t>• Auto-deploy a Render rápido y fluido.</w:t>
              <w:br/>
              <w:t>• Uso de ConfigCat para aislar el código en main.</w:t>
              <w:br/>
              <w:t>• Linter Ruff ejecutándose en &lt; 3s.</w:t>
            </w:r>
          </w:p>
        </w:tc>
        <w:tc>
          <w:tcPr>
            <w:tcW w:type="dxa" w:w="3168"/>
            <w:shd w:fill="FFFFFF"/>
            <w:tcMar>
              <w:top w:w="80" w:type="dxa"/>
              <w:bottom w:w="80" w:type="dxa"/>
              <w:left w:w="120" w:type="dxa"/>
              <w:right w:w="120" w:type="dxa"/>
            </w:tcMar>
          </w:tcPr>
          <w:p>
            <w:r>
              <w:rPr>
                <w:rFonts w:ascii="Arial" w:hAnsi="Arial"/>
                <w:color w:val="282828"/>
                <w:sz w:val="18"/>
              </w:rPr>
              <w:t>• Presión comercial del PO sin métricas previas.</w:t>
              <w:br/>
              <w:t>• 3 toggles obsoletos que confundían el código.</w:t>
              <w:br/>
              <w:t>• Tiempos muertos esperando revisiones de PR.</w:t>
            </w:r>
          </w:p>
        </w:tc>
        <w:tc>
          <w:tcPr>
            <w:tcW w:type="dxa" w:w="3168"/>
            <w:shd w:fill="FFFFFF"/>
            <w:tcMar>
              <w:top w:w="80" w:type="dxa"/>
              <w:bottom w:w="80" w:type="dxa"/>
              <w:left w:w="120" w:type="dxa"/>
              <w:right w:w="120" w:type="dxa"/>
            </w:tcMar>
          </w:tcPr>
          <w:p>
            <w:r>
              <w:rPr>
                <w:rFonts w:ascii="Arial" w:hAnsi="Arial"/>
                <w:color w:val="282828"/>
                <w:sz w:val="18"/>
              </w:rPr>
              <w:t>• Test flaky bloqueó una rama por 4 días.</w:t>
              <w:br/>
              <w:t>• Healthcheck colgado provocó 11 min de caída.</w:t>
              <w:br/>
              <w:t>• Anuncio comercial prematuro sin release real.</w:t>
            </w:r>
          </w:p>
        </w:tc>
      </w:tr>
    </w:tbl>
    <w:p>
      <w:pPr>
        <w:spacing w:after="200"/>
      </w:pPr>
    </w:p>
    <w:p>
      <w:pPr>
        <w:pStyle w:val="Heading2"/>
      </w:pPr>
      <w:r>
        <w:t>4.3 Acciones de Mejora Oficiales (Máximo 3 Acciones Concretas)</w:t>
      </w:r>
    </w:p>
    <w:tbl>
      <w:tblPr>
        <w:tblW w:type="auto" w:w="0"/>
        <w:jc w:val="center"/>
        <w:tblLook w:firstColumn="1" w:firstRow="1" w:lastColumn="0" w:lastRow="0" w:noHBand="0" w:noVBand="1" w:val="04A0"/>
      </w:tblPr>
      <w:tblGrid>
        <w:gridCol w:w="2340"/>
        <w:gridCol w:w="2340"/>
        <w:gridCol w:w="2340"/>
        <w:gridCol w:w="2340"/>
      </w:tblGrid>
      <w:tr>
        <w:tc>
          <w:tcPr>
            <w:tcW w:type="dxa" w:w="2592"/>
            <w:shd w:fill="0A2540"/>
            <w:tcMar>
              <w:top w:w="120" w:type="dxa"/>
              <w:bottom w:w="120" w:type="dxa"/>
              <w:left w:w="140" w:type="dxa"/>
              <w:right w:w="140" w:type="dxa"/>
            </w:tcMar>
          </w:tcPr>
          <w:p>
            <w:pPr>
              <w:jc w:val="center"/>
            </w:pPr>
            <w:r>
              <w:rPr>
                <w:rFonts w:ascii="Arial" w:hAnsi="Arial"/>
                <w:b/>
                <w:color w:val="FFFFFF"/>
                <w:sz w:val="19"/>
              </w:rPr>
              <w:t>Acción de Mejora</w:t>
            </w:r>
          </w:p>
        </w:tc>
        <w:tc>
          <w:tcPr>
            <w:tcW w:type="dxa" w:w="2016"/>
            <w:shd w:fill="0A2540"/>
            <w:tcMar>
              <w:top w:w="120" w:type="dxa"/>
              <w:bottom w:w="120" w:type="dxa"/>
              <w:left w:w="140" w:type="dxa"/>
              <w:right w:w="140" w:type="dxa"/>
            </w:tcMar>
          </w:tcPr>
          <w:p>
            <w:pPr>
              <w:jc w:val="center"/>
            </w:pPr>
            <w:r>
              <w:rPr>
                <w:rFonts w:ascii="Arial" w:hAnsi="Arial"/>
                <w:b/>
                <w:color w:val="FFFFFF"/>
                <w:sz w:val="19"/>
              </w:rPr>
              <w:t>Responsable</w:t>
            </w:r>
          </w:p>
        </w:tc>
        <w:tc>
          <w:tcPr>
            <w:tcW w:type="dxa" w:w="1584"/>
            <w:shd w:fill="0A2540"/>
            <w:tcMar>
              <w:top w:w="120" w:type="dxa"/>
              <w:bottom w:w="120" w:type="dxa"/>
              <w:left w:w="140" w:type="dxa"/>
              <w:right w:w="140" w:type="dxa"/>
            </w:tcMar>
          </w:tcPr>
          <w:p>
            <w:pPr>
              <w:jc w:val="center"/>
            </w:pPr>
            <w:r>
              <w:rPr>
                <w:rFonts w:ascii="Arial" w:hAnsi="Arial"/>
                <w:b/>
                <w:color w:val="FFFFFF"/>
                <w:sz w:val="19"/>
              </w:rPr>
              <w:t>Plazo</w:t>
            </w:r>
          </w:p>
        </w:tc>
        <w:tc>
          <w:tcPr>
            <w:tcW w:type="dxa" w:w="3168"/>
            <w:shd w:fill="0A2540"/>
            <w:tcMar>
              <w:top w:w="120" w:type="dxa"/>
              <w:bottom w:w="120" w:type="dxa"/>
              <w:left w:w="140" w:type="dxa"/>
              <w:right w:w="140" w:type="dxa"/>
            </w:tcMar>
          </w:tcPr>
          <w:p>
            <w:pPr>
              <w:jc w:val="center"/>
            </w:pPr>
            <w:r>
              <w:rPr>
                <w:rFonts w:ascii="Arial" w:hAnsi="Arial"/>
                <w:b/>
                <w:color w:val="FFFFFF"/>
                <w:sz w:val="19"/>
              </w:rPr>
              <w:t>Definition of Done (DoD)</w:t>
            </w:r>
          </w:p>
        </w:tc>
      </w:tr>
      <w:tr>
        <w:tc>
          <w:tcPr>
            <w:tcW w:type="dxa" w:w="2592"/>
            <w:shd w:fill="FFFFFF"/>
            <w:tcMar>
              <w:top w:w="80" w:type="dxa"/>
              <w:bottom w:w="80" w:type="dxa"/>
              <w:left w:w="120" w:type="dxa"/>
              <w:right w:w="120" w:type="dxa"/>
            </w:tcMar>
          </w:tcPr>
          <w:p>
            <w:pPr>
              <w:jc w:val="left"/>
            </w:pPr>
            <w:r>
              <w:rPr>
                <w:rFonts w:ascii="Arial" w:hAnsi="Arial"/>
                <w:color w:val="282828"/>
                <w:sz w:val="18"/>
              </w:rPr>
              <w:t>1. Cuarentena y Erradicación de Tests Flaky</w:t>
            </w:r>
          </w:p>
        </w:tc>
        <w:tc>
          <w:tcPr>
            <w:tcW w:type="dxa" w:w="2016"/>
            <w:shd w:fill="FFFFFF"/>
            <w:tcMar>
              <w:top w:w="80" w:type="dxa"/>
              <w:bottom w:w="80" w:type="dxa"/>
              <w:left w:w="120" w:type="dxa"/>
              <w:right w:w="120" w:type="dxa"/>
            </w:tcMar>
          </w:tcPr>
          <w:p>
            <w:r>
              <w:rPr>
                <w:rFonts w:ascii="Arial" w:hAnsi="Arial"/>
                <w:color w:val="282828"/>
                <w:sz w:val="18"/>
              </w:rPr>
              <w:t>Franklin Córdoba (Tech Lead)</w:t>
            </w:r>
          </w:p>
        </w:tc>
        <w:tc>
          <w:tcPr>
            <w:tcW w:type="dxa" w:w="1584"/>
            <w:shd w:fill="FFFFFF"/>
            <w:tcMar>
              <w:top w:w="80" w:type="dxa"/>
              <w:bottom w:w="80" w:type="dxa"/>
              <w:left w:w="120" w:type="dxa"/>
              <w:right w:w="120" w:type="dxa"/>
            </w:tcMar>
          </w:tcPr>
          <w:p>
            <w:r>
              <w:rPr>
                <w:rFonts w:ascii="Arial" w:hAnsi="Arial"/>
                <w:color w:val="282828"/>
                <w:sz w:val="18"/>
              </w:rPr>
              <w:t>Inmediato</w:t>
            </w:r>
          </w:p>
        </w:tc>
        <w:tc>
          <w:tcPr>
            <w:tcW w:type="dxa" w:w="3168"/>
            <w:shd w:fill="FFFFFF"/>
            <w:tcMar>
              <w:top w:w="80" w:type="dxa"/>
              <w:bottom w:w="80" w:type="dxa"/>
              <w:left w:w="120" w:type="dxa"/>
              <w:right w:w="120" w:type="dxa"/>
            </w:tcMar>
          </w:tcPr>
          <w:p>
            <w:r>
              <w:rPr>
                <w:rFonts w:ascii="Arial" w:hAnsi="Arial"/>
                <w:color w:val="282828"/>
                <w:sz w:val="18"/>
              </w:rPr>
              <w:t>Tests inestables aislados en &lt; 2h. Suite CI 100% determinista en &lt; 15s.</w:t>
            </w:r>
          </w:p>
        </w:tc>
      </w:tr>
      <w:tr>
        <w:tc>
          <w:tcPr>
            <w:tcW w:type="dxa" w:w="2592"/>
            <w:shd w:fill="F8FAFC"/>
            <w:tcMar>
              <w:top w:w="80" w:type="dxa"/>
              <w:bottom w:w="80" w:type="dxa"/>
              <w:left w:w="120" w:type="dxa"/>
              <w:right w:w="120" w:type="dxa"/>
            </w:tcMar>
          </w:tcPr>
          <w:p>
            <w:pPr>
              <w:jc w:val="left"/>
            </w:pPr>
            <w:r>
              <w:rPr>
                <w:rFonts w:ascii="Arial" w:hAnsi="Arial"/>
                <w:color w:val="282828"/>
                <w:sz w:val="18"/>
              </w:rPr>
              <w:t>2. Healthcheck Desacoplado y Resiliente</w:t>
            </w:r>
          </w:p>
        </w:tc>
        <w:tc>
          <w:tcPr>
            <w:tcW w:type="dxa" w:w="2016"/>
            <w:shd w:fill="F8FAFC"/>
            <w:tcMar>
              <w:top w:w="80" w:type="dxa"/>
              <w:bottom w:w="80" w:type="dxa"/>
              <w:left w:w="120" w:type="dxa"/>
              <w:right w:w="120" w:type="dxa"/>
            </w:tcMar>
          </w:tcPr>
          <w:p>
            <w:r>
              <w:rPr>
                <w:rFonts w:ascii="Arial" w:hAnsi="Arial"/>
                <w:color w:val="282828"/>
                <w:sz w:val="18"/>
              </w:rPr>
              <w:t>DevOps Engineer</w:t>
            </w:r>
          </w:p>
        </w:tc>
        <w:tc>
          <w:tcPr>
            <w:tcW w:type="dxa" w:w="1584"/>
            <w:shd w:fill="F8FAFC"/>
            <w:tcMar>
              <w:top w:w="80" w:type="dxa"/>
              <w:bottom w:w="80" w:type="dxa"/>
              <w:left w:w="120" w:type="dxa"/>
              <w:right w:w="120" w:type="dxa"/>
            </w:tcMar>
          </w:tcPr>
          <w:p>
            <w:r>
              <w:rPr>
                <w:rFonts w:ascii="Arial" w:hAnsi="Arial"/>
                <w:color w:val="282828"/>
                <w:sz w:val="18"/>
              </w:rPr>
              <w:t>24 Horas</w:t>
            </w:r>
          </w:p>
        </w:tc>
        <w:tc>
          <w:tcPr>
            <w:tcW w:type="dxa" w:w="3168"/>
            <w:shd w:fill="F8FAFC"/>
            <w:tcMar>
              <w:top w:w="80" w:type="dxa"/>
              <w:bottom w:w="80" w:type="dxa"/>
              <w:left w:w="120" w:type="dxa"/>
              <w:right w:w="120" w:type="dxa"/>
            </w:tcMar>
          </w:tcPr>
          <w:p>
            <w:r>
              <w:rPr>
                <w:rFonts w:ascii="Arial" w:hAnsi="Arial"/>
                <w:color w:val="282828"/>
                <w:sz w:val="18"/>
              </w:rPr>
              <w:t>Endpoint /health responde en &lt; 10ms sin dependencias bloqueantes.</w:t>
            </w:r>
          </w:p>
        </w:tc>
      </w:tr>
      <w:tr>
        <w:tc>
          <w:tcPr>
            <w:tcW w:type="dxa" w:w="2592"/>
            <w:shd w:fill="FFFFFF"/>
            <w:tcMar>
              <w:top w:w="80" w:type="dxa"/>
              <w:bottom w:w="80" w:type="dxa"/>
              <w:left w:w="120" w:type="dxa"/>
              <w:right w:w="120" w:type="dxa"/>
            </w:tcMar>
          </w:tcPr>
          <w:p>
            <w:pPr>
              <w:jc w:val="left"/>
            </w:pPr>
            <w:r>
              <w:rPr>
                <w:rFonts w:ascii="Arial" w:hAnsi="Arial"/>
                <w:color w:val="282828"/>
                <w:sz w:val="18"/>
              </w:rPr>
              <w:t>3. Política de Limpieza de Toggles Obsoletos</w:t>
            </w:r>
          </w:p>
        </w:tc>
        <w:tc>
          <w:tcPr>
            <w:tcW w:type="dxa" w:w="2016"/>
            <w:shd w:fill="FFFFFF"/>
            <w:tcMar>
              <w:top w:w="80" w:type="dxa"/>
              <w:bottom w:w="80" w:type="dxa"/>
              <w:left w:w="120" w:type="dxa"/>
              <w:right w:w="120" w:type="dxa"/>
            </w:tcMar>
          </w:tcPr>
          <w:p>
            <w:r>
              <w:rPr>
                <w:rFonts w:ascii="Arial" w:hAnsi="Arial"/>
                <w:color w:val="282828"/>
                <w:sz w:val="18"/>
              </w:rPr>
              <w:t>PO + Dev Team</w:t>
            </w:r>
          </w:p>
        </w:tc>
        <w:tc>
          <w:tcPr>
            <w:tcW w:type="dxa" w:w="1584"/>
            <w:shd w:fill="FFFFFF"/>
            <w:tcMar>
              <w:top w:w="80" w:type="dxa"/>
              <w:bottom w:w="80" w:type="dxa"/>
              <w:left w:w="120" w:type="dxa"/>
              <w:right w:w="120" w:type="dxa"/>
            </w:tcMar>
          </w:tcPr>
          <w:p>
            <w:r>
              <w:rPr>
                <w:rFonts w:ascii="Arial" w:hAnsi="Arial"/>
                <w:color w:val="282828"/>
                <w:sz w:val="18"/>
              </w:rPr>
              <w:t>Fin de Sprint</w:t>
            </w:r>
          </w:p>
        </w:tc>
        <w:tc>
          <w:tcPr>
            <w:tcW w:type="dxa" w:w="3168"/>
            <w:shd w:fill="FFFFFF"/>
            <w:tcMar>
              <w:top w:w="80" w:type="dxa"/>
              <w:bottom w:w="80" w:type="dxa"/>
              <w:left w:w="120" w:type="dxa"/>
              <w:right w:w="120" w:type="dxa"/>
            </w:tcMar>
          </w:tcPr>
          <w:p>
            <w:r>
              <w:rPr>
                <w:rFonts w:ascii="Arial" w:hAnsi="Arial"/>
                <w:color w:val="282828"/>
                <w:sz w:val="18"/>
              </w:rPr>
              <w:t>Eliminar los 3 toggles &gt; 45 días. Caducidad máxima de 30 días en Playbook.</w:t>
            </w:r>
          </w:p>
        </w:tc>
      </w:tr>
    </w:tbl>
    <w:p>
      <w:pPr>
        <w:spacing w:after="200"/>
      </w:pPr>
    </w:p>
    <w:p>
      <w:pPr>
        <w:pStyle w:val="Heading1"/>
      </w:pPr>
      <w:r>
        <w:t>5. Liberación Segura de Valor (Canary Rollout)</w:t>
      </w:r>
    </w:p>
    <w:p>
      <w:r>
        <w:t>Se diseñó una estrategia de liberación progresiva para 'pagos-express-v1' que permite conciliar la urgencia comercial de la campaña con la estabilidad absoluta del sistema en producción:</w:t>
      </w:r>
    </w:p>
    <w:tbl>
      <w:tblPr>
        <w:tblW w:type="auto" w:w="0"/>
        <w:jc w:val="center"/>
        <w:tblLook w:firstColumn="1" w:firstRow="1" w:lastColumn="0" w:lastRow="0" w:noHBand="0" w:noVBand="1" w:val="04A0"/>
      </w:tblPr>
      <w:tblGrid>
        <w:gridCol w:w="2340"/>
        <w:gridCol w:w="2340"/>
        <w:gridCol w:w="2340"/>
        <w:gridCol w:w="2340"/>
      </w:tblGrid>
      <w:tr>
        <w:tc>
          <w:tcPr>
            <w:tcW w:type="dxa" w:w="1728"/>
            <w:shd w:fill="0A2540"/>
            <w:tcMar>
              <w:top w:w="120" w:type="dxa"/>
              <w:bottom w:w="120" w:type="dxa"/>
              <w:left w:w="140" w:type="dxa"/>
              <w:right w:w="140" w:type="dxa"/>
            </w:tcMar>
          </w:tcPr>
          <w:p>
            <w:pPr>
              <w:jc w:val="center"/>
            </w:pPr>
            <w:r>
              <w:rPr>
                <w:rFonts w:ascii="Arial" w:hAnsi="Arial"/>
                <w:b/>
                <w:color w:val="FFFFFF"/>
                <w:sz w:val="19"/>
              </w:rPr>
              <w:t>Fase</w:t>
            </w:r>
          </w:p>
        </w:tc>
        <w:tc>
          <w:tcPr>
            <w:tcW w:type="dxa" w:w="2592"/>
            <w:shd w:fill="0A2540"/>
            <w:tcMar>
              <w:top w:w="120" w:type="dxa"/>
              <w:bottom w:w="120" w:type="dxa"/>
              <w:left w:w="140" w:type="dxa"/>
              <w:right w:w="140" w:type="dxa"/>
            </w:tcMar>
          </w:tcPr>
          <w:p>
            <w:pPr>
              <w:jc w:val="center"/>
            </w:pPr>
            <w:r>
              <w:rPr>
                <w:rFonts w:ascii="Arial" w:hAnsi="Arial"/>
                <w:b/>
                <w:color w:val="FFFFFF"/>
                <w:sz w:val="19"/>
              </w:rPr>
              <w:t>Audiencia Objetivo</w:t>
            </w:r>
          </w:p>
        </w:tc>
        <w:tc>
          <w:tcPr>
            <w:tcW w:type="dxa" w:w="2592"/>
            <w:shd w:fill="0A2540"/>
            <w:tcMar>
              <w:top w:w="120" w:type="dxa"/>
              <w:bottom w:w="120" w:type="dxa"/>
              <w:left w:w="140" w:type="dxa"/>
              <w:right w:w="140" w:type="dxa"/>
            </w:tcMar>
          </w:tcPr>
          <w:p>
            <w:pPr>
              <w:jc w:val="center"/>
            </w:pPr>
            <w:r>
              <w:rPr>
                <w:rFonts w:ascii="Arial" w:hAnsi="Arial"/>
                <w:b/>
                <w:color w:val="FFFFFF"/>
                <w:sz w:val="19"/>
              </w:rPr>
              <w:t>Propósito</w:t>
            </w:r>
          </w:p>
        </w:tc>
        <w:tc>
          <w:tcPr>
            <w:tcW w:type="dxa" w:w="2448"/>
            <w:shd w:fill="0A2540"/>
            <w:tcMar>
              <w:top w:w="120" w:type="dxa"/>
              <w:bottom w:w="120" w:type="dxa"/>
              <w:left w:w="140" w:type="dxa"/>
              <w:right w:w="140" w:type="dxa"/>
            </w:tcMar>
          </w:tcPr>
          <w:p>
            <w:pPr>
              <w:jc w:val="center"/>
            </w:pPr>
            <w:r>
              <w:rPr>
                <w:rFonts w:ascii="Arial" w:hAnsi="Arial"/>
                <w:b/>
                <w:color w:val="FFFFFF"/>
                <w:sz w:val="19"/>
              </w:rPr>
              <w:t>Criterio de Avance</w:t>
            </w:r>
          </w:p>
        </w:tc>
      </w:tr>
      <w:tr>
        <w:tc>
          <w:tcPr>
            <w:tcW w:type="dxa" w:w="1728"/>
            <w:shd w:fill="FFFFFF"/>
            <w:tcMar>
              <w:top w:w="80" w:type="dxa"/>
              <w:bottom w:w="80" w:type="dxa"/>
              <w:left w:w="120" w:type="dxa"/>
              <w:right w:w="120" w:type="dxa"/>
            </w:tcMar>
          </w:tcPr>
          <w:p>
            <w:pPr>
              <w:jc w:val="left"/>
            </w:pPr>
            <w:r>
              <w:rPr>
                <w:rFonts w:ascii="Arial" w:hAnsi="Arial"/>
                <w:color w:val="282828"/>
                <w:sz w:val="18"/>
              </w:rPr>
              <w:t>Fase 0: Alpha</w:t>
            </w:r>
          </w:p>
        </w:tc>
        <w:tc>
          <w:tcPr>
            <w:tcW w:type="dxa" w:w="2592"/>
            <w:shd w:fill="FFFFFF"/>
            <w:tcMar>
              <w:top w:w="80" w:type="dxa"/>
              <w:bottom w:w="80" w:type="dxa"/>
              <w:left w:w="120" w:type="dxa"/>
              <w:right w:w="120" w:type="dxa"/>
            </w:tcMar>
          </w:tcPr>
          <w:p>
            <w:r>
              <w:rPr>
                <w:rFonts w:ascii="Arial" w:hAnsi="Arial"/>
                <w:color w:val="282828"/>
                <w:sz w:val="18"/>
              </w:rPr>
              <w:t>Usuarios internos (@empresa.com)</w:t>
            </w:r>
          </w:p>
        </w:tc>
        <w:tc>
          <w:tcPr>
            <w:tcW w:type="dxa" w:w="2592"/>
            <w:shd w:fill="FFFFFF"/>
            <w:tcMar>
              <w:top w:w="80" w:type="dxa"/>
              <w:bottom w:w="80" w:type="dxa"/>
              <w:left w:w="120" w:type="dxa"/>
              <w:right w:w="120" w:type="dxa"/>
            </w:tcMar>
          </w:tcPr>
          <w:p>
            <w:r>
              <w:rPr>
                <w:rFonts w:ascii="Arial" w:hAnsi="Arial"/>
                <w:color w:val="282828"/>
                <w:sz w:val="18"/>
              </w:rPr>
              <w:t>Validar integración en Render sin riesgo a clientes.</w:t>
            </w:r>
          </w:p>
        </w:tc>
        <w:tc>
          <w:tcPr>
            <w:tcW w:type="dxa" w:w="2448"/>
            <w:shd w:fill="FFFFFF"/>
            <w:tcMar>
              <w:top w:w="80" w:type="dxa"/>
              <w:bottom w:w="80" w:type="dxa"/>
              <w:left w:w="120" w:type="dxa"/>
              <w:right w:w="120" w:type="dxa"/>
            </w:tcMar>
          </w:tcPr>
          <w:p>
            <w:r>
              <w:rPr>
                <w:rFonts w:ascii="Arial" w:hAnsi="Arial"/>
                <w:color w:val="282828"/>
                <w:sz w:val="18"/>
              </w:rPr>
              <w:t>100% compras internas exitosas.</w:t>
            </w:r>
          </w:p>
        </w:tc>
      </w:tr>
      <w:tr>
        <w:tc>
          <w:tcPr>
            <w:tcW w:type="dxa" w:w="1728"/>
            <w:shd w:fill="F8FAFC"/>
            <w:tcMar>
              <w:top w:w="80" w:type="dxa"/>
              <w:bottom w:w="80" w:type="dxa"/>
              <w:left w:w="120" w:type="dxa"/>
              <w:right w:w="120" w:type="dxa"/>
            </w:tcMar>
          </w:tcPr>
          <w:p>
            <w:pPr>
              <w:jc w:val="left"/>
            </w:pPr>
            <w:r>
              <w:rPr>
                <w:rFonts w:ascii="Arial" w:hAnsi="Arial"/>
                <w:color w:val="282828"/>
                <w:sz w:val="18"/>
              </w:rPr>
              <w:t>Fase 1: Beta</w:t>
            </w:r>
          </w:p>
        </w:tc>
        <w:tc>
          <w:tcPr>
            <w:tcW w:type="dxa" w:w="2592"/>
            <w:shd w:fill="F8FAFC"/>
            <w:tcMar>
              <w:top w:w="80" w:type="dxa"/>
              <w:bottom w:w="80" w:type="dxa"/>
              <w:left w:w="120" w:type="dxa"/>
              <w:right w:w="120" w:type="dxa"/>
            </w:tcMar>
          </w:tcPr>
          <w:p>
            <w:r>
              <w:rPr>
                <w:rFonts w:ascii="Arial" w:hAnsi="Arial"/>
                <w:color w:val="282828"/>
                <w:sz w:val="18"/>
              </w:rPr>
              <w:t>5% usuarios aleatorios reales</w:t>
            </w:r>
          </w:p>
        </w:tc>
        <w:tc>
          <w:tcPr>
            <w:tcW w:type="dxa" w:w="2592"/>
            <w:shd w:fill="F8FAFC"/>
            <w:tcMar>
              <w:top w:w="80" w:type="dxa"/>
              <w:bottom w:w="80" w:type="dxa"/>
              <w:left w:w="120" w:type="dxa"/>
              <w:right w:w="120" w:type="dxa"/>
            </w:tcMar>
          </w:tcPr>
          <w:p>
            <w:r>
              <w:rPr>
                <w:rFonts w:ascii="Arial" w:hAnsi="Arial"/>
                <w:color w:val="282828"/>
                <w:sz w:val="18"/>
              </w:rPr>
              <w:t>Monitoreo intensivo de 2 horas en vivo.</w:t>
            </w:r>
          </w:p>
        </w:tc>
        <w:tc>
          <w:tcPr>
            <w:tcW w:type="dxa" w:w="2448"/>
            <w:shd w:fill="F8FAFC"/>
            <w:tcMar>
              <w:top w:w="80" w:type="dxa"/>
              <w:bottom w:w="80" w:type="dxa"/>
              <w:left w:w="120" w:type="dxa"/>
              <w:right w:w="120" w:type="dxa"/>
            </w:tcMar>
          </w:tcPr>
          <w:p>
            <w:r>
              <w:rPr>
                <w:rFonts w:ascii="Arial" w:hAnsi="Arial"/>
                <w:color w:val="282828"/>
                <w:sz w:val="18"/>
              </w:rPr>
              <w:t>Error rate &lt; 0.5%, latencia &lt; 600ms.</w:t>
            </w:r>
          </w:p>
        </w:tc>
      </w:tr>
      <w:tr>
        <w:tc>
          <w:tcPr>
            <w:tcW w:type="dxa" w:w="1728"/>
            <w:shd w:fill="FFFFFF"/>
            <w:tcMar>
              <w:top w:w="80" w:type="dxa"/>
              <w:bottom w:w="80" w:type="dxa"/>
              <w:left w:w="120" w:type="dxa"/>
              <w:right w:w="120" w:type="dxa"/>
            </w:tcMar>
          </w:tcPr>
          <w:p>
            <w:pPr>
              <w:jc w:val="left"/>
            </w:pPr>
            <w:r>
              <w:rPr>
                <w:rFonts w:ascii="Arial" w:hAnsi="Arial"/>
                <w:color w:val="282828"/>
                <w:sz w:val="18"/>
              </w:rPr>
              <w:t>Fase 2: Comercial</w:t>
            </w:r>
          </w:p>
        </w:tc>
        <w:tc>
          <w:tcPr>
            <w:tcW w:type="dxa" w:w="2592"/>
            <w:shd w:fill="FFFFFF"/>
            <w:tcMar>
              <w:top w:w="80" w:type="dxa"/>
              <w:bottom w:w="80" w:type="dxa"/>
              <w:left w:w="120" w:type="dxa"/>
              <w:right w:w="120" w:type="dxa"/>
            </w:tcMar>
          </w:tcPr>
          <w:p>
            <w:r>
              <w:rPr>
                <w:rFonts w:ascii="Arial" w:hAnsi="Arial"/>
                <w:color w:val="282828"/>
                <w:sz w:val="18"/>
              </w:rPr>
              <w:t>20% usuarios (Campaña Marketing)</w:t>
            </w:r>
          </w:p>
        </w:tc>
        <w:tc>
          <w:tcPr>
            <w:tcW w:type="dxa" w:w="2592"/>
            <w:shd w:fill="FFFFFF"/>
            <w:tcMar>
              <w:top w:w="80" w:type="dxa"/>
              <w:bottom w:w="80" w:type="dxa"/>
              <w:left w:w="120" w:type="dxa"/>
              <w:right w:w="120" w:type="dxa"/>
            </w:tcMar>
          </w:tcPr>
          <w:p>
            <w:r>
              <w:rPr>
                <w:rFonts w:ascii="Arial" w:hAnsi="Arial"/>
                <w:color w:val="282828"/>
                <w:sz w:val="18"/>
              </w:rPr>
              <w:t>Satisfacer la campaña del PO bajo control.</w:t>
            </w:r>
          </w:p>
        </w:tc>
        <w:tc>
          <w:tcPr>
            <w:tcW w:type="dxa" w:w="2448"/>
            <w:shd w:fill="FFFFFF"/>
            <w:tcMar>
              <w:top w:w="80" w:type="dxa"/>
              <w:bottom w:w="80" w:type="dxa"/>
              <w:left w:w="120" w:type="dxa"/>
              <w:right w:w="120" w:type="dxa"/>
            </w:tcMar>
          </w:tcPr>
          <w:p>
            <w:r>
              <w:rPr>
                <w:rFonts w:ascii="Arial" w:hAnsi="Arial"/>
                <w:color w:val="282828"/>
                <w:sz w:val="18"/>
              </w:rPr>
              <w:t>Conversión &gt; 92% tras 6 horas.</w:t>
            </w:r>
          </w:p>
        </w:tc>
      </w:tr>
      <w:tr>
        <w:tc>
          <w:tcPr>
            <w:tcW w:type="dxa" w:w="1728"/>
            <w:shd w:fill="F8FAFC"/>
            <w:tcMar>
              <w:top w:w="80" w:type="dxa"/>
              <w:bottom w:w="80" w:type="dxa"/>
              <w:left w:w="120" w:type="dxa"/>
              <w:right w:w="120" w:type="dxa"/>
            </w:tcMar>
          </w:tcPr>
          <w:p>
            <w:pPr>
              <w:jc w:val="left"/>
            </w:pPr>
            <w:r>
              <w:rPr>
                <w:rFonts w:ascii="Arial" w:hAnsi="Arial"/>
                <w:color w:val="282828"/>
                <w:sz w:val="18"/>
              </w:rPr>
              <w:t>Fase 3: Expansión</w:t>
            </w:r>
          </w:p>
        </w:tc>
        <w:tc>
          <w:tcPr>
            <w:tcW w:type="dxa" w:w="2592"/>
            <w:shd w:fill="F8FAFC"/>
            <w:tcMar>
              <w:top w:w="80" w:type="dxa"/>
              <w:bottom w:w="80" w:type="dxa"/>
              <w:left w:w="120" w:type="dxa"/>
              <w:right w:w="120" w:type="dxa"/>
            </w:tcMar>
          </w:tcPr>
          <w:p>
            <w:r>
              <w:rPr>
                <w:rFonts w:ascii="Arial" w:hAnsi="Arial"/>
                <w:color w:val="282828"/>
                <w:sz w:val="18"/>
              </w:rPr>
              <w:t>50% de la base de usuarios</w:t>
            </w:r>
          </w:p>
        </w:tc>
        <w:tc>
          <w:tcPr>
            <w:tcW w:type="dxa" w:w="2592"/>
            <w:shd w:fill="F8FAFC"/>
            <w:tcMar>
              <w:top w:w="80" w:type="dxa"/>
              <w:bottom w:w="80" w:type="dxa"/>
              <w:left w:w="120" w:type="dxa"/>
              <w:right w:w="120" w:type="dxa"/>
            </w:tcMar>
          </w:tcPr>
          <w:p>
            <w:r>
              <w:rPr>
                <w:rFonts w:ascii="Arial" w:hAnsi="Arial"/>
                <w:color w:val="282828"/>
                <w:sz w:val="18"/>
              </w:rPr>
              <w:t>Validar comportamiento a escala media.</w:t>
            </w:r>
          </w:p>
        </w:tc>
        <w:tc>
          <w:tcPr>
            <w:tcW w:type="dxa" w:w="2448"/>
            <w:shd w:fill="F8FAFC"/>
            <w:tcMar>
              <w:top w:w="80" w:type="dxa"/>
              <w:bottom w:w="80" w:type="dxa"/>
              <w:left w:w="120" w:type="dxa"/>
              <w:right w:w="120" w:type="dxa"/>
            </w:tcMar>
          </w:tcPr>
          <w:p>
            <w:r>
              <w:rPr>
                <w:rFonts w:ascii="Arial" w:hAnsi="Arial"/>
                <w:color w:val="282828"/>
                <w:sz w:val="18"/>
              </w:rPr>
              <w:t>Estabilidad tras 24 horas.</w:t>
            </w:r>
          </w:p>
        </w:tc>
      </w:tr>
      <w:tr>
        <w:tc>
          <w:tcPr>
            <w:tcW w:type="dxa" w:w="1728"/>
            <w:shd w:fill="FFFFFF"/>
            <w:tcMar>
              <w:top w:w="80" w:type="dxa"/>
              <w:bottom w:w="80" w:type="dxa"/>
              <w:left w:w="120" w:type="dxa"/>
              <w:right w:w="120" w:type="dxa"/>
            </w:tcMar>
          </w:tcPr>
          <w:p>
            <w:pPr>
              <w:jc w:val="left"/>
            </w:pPr>
            <w:r>
              <w:rPr>
                <w:rFonts w:ascii="Arial" w:hAnsi="Arial"/>
                <w:color w:val="282828"/>
                <w:sz w:val="18"/>
              </w:rPr>
              <w:t>Fase 4: 100% GA</w:t>
            </w:r>
          </w:p>
        </w:tc>
        <w:tc>
          <w:tcPr>
            <w:tcW w:type="dxa" w:w="2592"/>
            <w:shd w:fill="FFFFFF"/>
            <w:tcMar>
              <w:top w:w="80" w:type="dxa"/>
              <w:bottom w:w="80" w:type="dxa"/>
              <w:left w:w="120" w:type="dxa"/>
              <w:right w:w="120" w:type="dxa"/>
            </w:tcMar>
          </w:tcPr>
          <w:p>
            <w:r>
              <w:rPr>
                <w:rFonts w:ascii="Arial" w:hAnsi="Arial"/>
                <w:color w:val="282828"/>
                <w:sz w:val="18"/>
              </w:rPr>
              <w:t>Todos los usuarios</w:t>
            </w:r>
          </w:p>
        </w:tc>
        <w:tc>
          <w:tcPr>
            <w:tcW w:type="dxa" w:w="2592"/>
            <w:shd w:fill="FFFFFF"/>
            <w:tcMar>
              <w:top w:w="80" w:type="dxa"/>
              <w:bottom w:w="80" w:type="dxa"/>
              <w:left w:w="120" w:type="dxa"/>
              <w:right w:w="120" w:type="dxa"/>
            </w:tcMar>
          </w:tcPr>
          <w:p>
            <w:r>
              <w:rPr>
                <w:rFonts w:ascii="Arial" w:hAnsi="Arial"/>
                <w:color w:val="282828"/>
                <w:sz w:val="18"/>
              </w:rPr>
              <w:t>Disponibilidad general y agenda de cleanup.</w:t>
            </w:r>
          </w:p>
        </w:tc>
        <w:tc>
          <w:tcPr>
            <w:tcW w:type="dxa" w:w="2448"/>
            <w:shd w:fill="FFFFFF"/>
            <w:tcMar>
              <w:top w:w="80" w:type="dxa"/>
              <w:bottom w:w="80" w:type="dxa"/>
              <w:left w:w="120" w:type="dxa"/>
              <w:right w:w="120" w:type="dxa"/>
            </w:tcMar>
          </w:tcPr>
          <w:p>
            <w:r>
              <w:rPr>
                <w:rFonts w:ascii="Arial" w:hAnsi="Arial"/>
                <w:color w:val="282828"/>
                <w:sz w:val="18"/>
              </w:rPr>
              <w:t>Cierre formal del release.</w:t>
            </w:r>
          </w:p>
        </w:tc>
      </w:tr>
    </w:tbl>
    <w:p>
      <w:pPr>
        <w:spacing w:after="200"/>
      </w:pPr>
    </w:p>
    <w:tbl>
      <w:tblPr>
        <w:tblW w:type="auto" w:w="0"/>
        <w:jc w:val="center"/>
        <w:tblLook w:firstColumn="1" w:firstRow="1" w:lastColumn="0" w:lastRow="0" w:noHBand="0" w:noVBand="1" w:val="04A0"/>
      </w:tblPr>
      <w:tblGrid>
        <w:gridCol w:w="9360"/>
      </w:tblGrid>
      <w:tr>
        <w:tc>
          <w:tcPr>
            <w:tcW w:type="dxa" w:w="9360"/>
            <w:shd w:fill="FFF5F5"/>
            <w:tcMar>
              <w:top w:w="140" w:type="dxa"/>
              <w:bottom w:w="140" w:type="dxa"/>
              <w:left w:w="200" w:type="dxa"/>
              <w:right w:w="180" w:type="dxa"/>
            </w:tcMar>
            <w:tcBorders>
              <w:top w:val="none"/>
              <w:left w:val="single" w:sz="24" w:space="0" w:color="CC0000"/>
              <w:bottom w:val="none"/>
              <w:right w:val="none"/>
            </w:tcBorders>
          </w:tcPr>
          <w:p>
            <w:pPr>
              <w:spacing w:before="40" w:after="40"/>
            </w:pPr>
            <w:r>
              <w:rPr>
                <w:rFonts w:ascii="Arial" w:hAnsi="Arial"/>
                <w:b/>
                <w:color w:val="0A2540"/>
                <w:sz w:val="20"/>
              </w:rPr>
              <w:t xml:space="preserve">📌 PROTOCOLO DE KILL-SWITCH INMEDIATO: </w:t>
            </w:r>
            <w:r>
              <w:rPr>
                <w:rFonts w:ascii="Arial" w:hAnsi="Arial"/>
                <w:color w:val="28323C"/>
                <w:sz w:val="20"/>
              </w:rPr>
              <w:t>Si durante el rollout el Error Rate supera el 1.5% o la latencia supera 1.5 segundos, cualquier miembro del equipo o el PO apaga el toggle 'pagos-express-v1' a 0% en ConfigCat inmediatamente. Tiempo de mitigación: &lt; 30 segundos, sin necesidad de redeploy ni de rollback de contenedor.</w:t>
            </w:r>
          </w:p>
        </w:tc>
      </w:tr>
    </w:tbl>
    <w:p/>
    <w:p>
      <w:pPr>
        <w:pStyle w:val="Heading1"/>
      </w:pPr>
      <w:r>
        <w:t>6. Actualización del Playbook y Cierre de Fase 1</w:t>
      </w:r>
    </w:p>
    <w:p>
      <w:r>
        <w:t>Se procedió a la actualización oficial del documento 'SCRUM_TBD_PLAYBOOK_v3.md', integrando formalmente:</w:t>
        <w:br/>
        <w:t>• El protocolo y estructura del nuevo Sprint Review en Continuous Deployment.</w:t>
        <w:br/>
        <w:t>• El protocolo y los 3 ejes obligatorios de la nueva Sprint Retrospective.</w:t>
        <w:br/>
        <w:t>• La política de gobernanza y ciclo de vida de Feature Toggles (expiración a los 30 días).</w:t>
        <w:br/>
        <w:t>• El protocolo de cuarentena de tests flaky.</w:t>
        <w:br/>
        <w:t>• El cierre al 100% de la Fase 1 del diplomado.</w:t>
      </w:r>
    </w:p>
    <w:tbl>
      <w:tblPr>
        <w:tblW w:type="auto" w:w="0"/>
        <w:jc w:val="center"/>
        <w:tblLook w:firstColumn="1" w:firstRow="1" w:lastColumn="0" w:lastRow="0" w:noHBand="0" w:noVBand="1" w:val="04A0"/>
      </w:tblPr>
      <w:tblGrid>
        <w:gridCol w:w="9360"/>
      </w:tblGrid>
      <w:tr>
        <w:tc>
          <w:tcPr>
            <w:tcW w:type="dxa" w:w="9360"/>
            <w:shd w:fill="F0FFF4"/>
            <w:tcMar>
              <w:top w:w="140" w:type="dxa"/>
              <w:bottom w:w="140" w:type="dxa"/>
              <w:left w:w="200" w:type="dxa"/>
              <w:right w:w="180" w:type="dxa"/>
            </w:tcMar>
            <w:tcBorders>
              <w:top w:val="none"/>
              <w:left w:val="single" w:sz="24" w:space="0" w:color="00AA66"/>
              <w:bottom w:val="none"/>
              <w:right w:val="none"/>
            </w:tcBorders>
          </w:tcPr>
          <w:p>
            <w:pPr>
              <w:spacing w:before="40" w:after="40"/>
            </w:pPr>
            <w:r>
              <w:rPr>
                <w:rFonts w:ascii="Arial" w:hAnsi="Arial"/>
                <w:b/>
                <w:color w:val="0A2540"/>
                <w:sz w:val="20"/>
              </w:rPr>
              <w:t xml:space="preserve">📌 RONDA FINAL - FRASE DE TRANSFORMACIÓN: </w:t>
            </w:r>
            <w:r>
              <w:rPr>
                <w:rFonts w:ascii="Arial" w:hAnsi="Arial"/>
                <w:color w:val="28323C"/>
                <w:sz w:val="20"/>
              </w:rPr>
              <w:t>“A partir de este taller, el Sprint Review deja de ser una entrega de código para convertirse en una validación científica de valor en producción, y la Retrospectiva pasa de discutir impresiones a optimizar matemáticamente la salud del pipeline y el flujo continuo.”</w:t>
            </w:r>
          </w:p>
        </w:tc>
      </w:tr>
    </w:tbl>
    <w:p/>
    <w:p>
      <w:pPr>
        <w:pStyle w:val="Heading1"/>
      </w:pPr>
      <w:r>
        <w:t>7. Evidencias de Validación Técnica Automatizada</w:t>
      </w:r>
    </w:p>
    <w:p>
      <w:r>
        <w:t>A continuación, se certifica la ejecución exitosa de la suite completa de pruebas unitarias y de integración en el entorno local y en el pipeline de GitHub Actions:</w:t>
      </w:r>
    </w:p>
    <w:p>
      <w:r>
        <w:rPr>
          <w:rFonts w:ascii="Consolas" w:hAnsi="Consolas"/>
          <w:color w:val="141E28"/>
          <w:sz w:val="17"/>
        </w:rPr>
        <w:t>============================= test session starts =============================</w:t>
        <w:br/>
        <w:t>collected 13 items</w:t>
        <w:br/>
        <w:br/>
        <w:t>tests/test_health.py::test_root_endpoint PASSED                          [  7%]</w:t>
        <w:br/>
        <w:t>tests/test_health.py::test_health_check_proactive PASSED                 [ 15%]</w:t>
        <w:br/>
        <w:t>tests/test_health.py::test_metrics_endpoint PASSED                       [ 23%]</w:t>
        <w:br/>
        <w:t>tests/test_health.py::test_toggles_admin_audit PASSED                    [ 30%]</w:t>
        <w:br/>
        <w:t>tests/test_health.py::test_cleanup_stale_toggles PASSED                  [ 38%]</w:t>
        <w:br/>
        <w:t>tests/test_payments.py::test_standard_checkout_when_toggle_is_off PASSED [ 46%]</w:t>
        <w:br/>
        <w:t>tests/test_payments.py::test_express_checkout_when_toggle_is_on PASSED   [ 53%]</w:t>
        <w:br/>
        <w:t>tests/test_payments.py::test_checkout_invalid_amount PASSED              [ 61%]</w:t>
        <w:br/>
        <w:t>tests/test_payments.py::test_flaky_test_elimination_deterministic PASSED [ 69%]</w:t>
        <w:br/>
        <w:t>tests/test_toggles.py::test_default_toggle_state_is_off PASSED           [ 76%]</w:t>
        <w:br/>
        <w:t>tests/test_toggles.py::test_toggle_override_to_on PASSED                 [ 84%]</w:t>
        <w:br/>
        <w:t>tests/test_toggles.py::test_internal_user_canary_whitelisting PASSED     [ 92%]</w:t>
        <w:br/>
        <w:t>tests/test_toggles.py::test_user_specific_override PASSED                [100%]</w:t>
        <w:br/>
        <w:br/>
        <w:t>======================== 13 passed in 0.51s ========================</w:t>
        <w:br/>
        <w:t>Ruff Linter: All checks passed! (0 errors, 0 warnings)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