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23D2" w14:textId="7C549BDD" w:rsidR="006922AE" w:rsidRPr="0093118A" w:rsidRDefault="0093118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Comparative Assessment of </w:t>
      </w:r>
      <w:r w:rsidR="006922AE" w:rsidRPr="0093118A">
        <w:rPr>
          <w:rFonts w:ascii="Times New Roman" w:hAnsi="Times New Roman" w:cs="Times New Roman"/>
          <w:b/>
          <w:bCs/>
          <w:sz w:val="24"/>
          <w:szCs w:val="24"/>
        </w:rPr>
        <w:t xml:space="preserve">RHEAS Maize </w:t>
      </w:r>
      <w:r>
        <w:rPr>
          <w:rFonts w:ascii="Times New Roman" w:hAnsi="Times New Roman" w:cs="Times New Roman"/>
          <w:b/>
          <w:bCs/>
          <w:sz w:val="24"/>
          <w:szCs w:val="24"/>
        </w:rPr>
        <w:t>Simulations against Crop Harvest Surveys</w:t>
      </w:r>
      <w:r w:rsidR="006922AE" w:rsidRPr="0093118A">
        <w:rPr>
          <w:rFonts w:ascii="Times New Roman" w:hAnsi="Times New Roman" w:cs="Times New Roman"/>
          <w:b/>
          <w:bCs/>
          <w:sz w:val="24"/>
          <w:szCs w:val="24"/>
        </w:rPr>
        <w:t xml:space="preserve"> for Zambia</w:t>
      </w:r>
    </w:p>
    <w:p w14:paraId="583E2050" w14:textId="63E59B0A" w:rsidR="0093118A" w:rsidRDefault="00091958">
      <w:pPr>
        <w:rPr>
          <w:rFonts w:ascii="Times New Roman" w:hAnsi="Times New Roman" w:cs="Times New Roman"/>
          <w:sz w:val="24"/>
          <w:szCs w:val="24"/>
        </w:rPr>
      </w:pPr>
      <w:r w:rsidRPr="0093118A">
        <w:rPr>
          <w:rFonts w:ascii="Times New Roman" w:hAnsi="Times New Roman" w:cs="Times New Roman"/>
          <w:sz w:val="24"/>
          <w:szCs w:val="24"/>
        </w:rPr>
        <w:t>RHEAS</w:t>
      </w:r>
      <w:r w:rsidR="00AF042B">
        <w:rPr>
          <w:rFonts w:ascii="Times New Roman" w:hAnsi="Times New Roman" w:cs="Times New Roman"/>
          <w:sz w:val="24"/>
          <w:szCs w:val="24"/>
        </w:rPr>
        <w:t xml:space="preserve"> </w:t>
      </w:r>
      <w:r w:rsidRPr="0093118A">
        <w:rPr>
          <w:rFonts w:ascii="Times New Roman" w:hAnsi="Times New Roman" w:cs="Times New Roman"/>
          <w:sz w:val="24"/>
          <w:szCs w:val="24"/>
        </w:rPr>
        <w:t xml:space="preserve"> model </w:t>
      </w:r>
      <w:r w:rsidR="00AF042B">
        <w:rPr>
          <w:rFonts w:ascii="Times New Roman" w:hAnsi="Times New Roman" w:cs="Times New Roman"/>
          <w:sz w:val="24"/>
          <w:szCs w:val="24"/>
        </w:rPr>
        <w:t xml:space="preserve">framework </w:t>
      </w:r>
      <w:r w:rsidRPr="0093118A">
        <w:rPr>
          <w:rFonts w:ascii="Times New Roman" w:hAnsi="Times New Roman" w:cs="Times New Roman"/>
          <w:sz w:val="24"/>
          <w:szCs w:val="24"/>
        </w:rPr>
        <w:t>simulation was conducted for Zambia. The maize outputs were then compared to the preharvest crop surveys</w:t>
      </w:r>
      <w:r w:rsidR="00DB5D89">
        <w:rPr>
          <w:rFonts w:ascii="Times New Roman" w:hAnsi="Times New Roman" w:cs="Times New Roman"/>
          <w:sz w:val="24"/>
          <w:szCs w:val="24"/>
        </w:rPr>
        <w:t xml:space="preserve"> obtained from </w:t>
      </w:r>
      <w:r w:rsidR="00DB5D89" w:rsidRPr="0093118A">
        <w:rPr>
          <w:rFonts w:ascii="Times New Roman" w:hAnsi="Times New Roman" w:cs="Times New Roman"/>
          <w:sz w:val="24"/>
          <w:szCs w:val="24"/>
        </w:rPr>
        <w:t>Zambia Statistics Agency</w:t>
      </w:r>
      <w:r w:rsidR="00DB5D89">
        <w:rPr>
          <w:rFonts w:ascii="Times New Roman" w:hAnsi="Times New Roman" w:cs="Times New Roman"/>
          <w:sz w:val="24"/>
          <w:szCs w:val="24"/>
        </w:rPr>
        <w:t xml:space="preserve"> website</w:t>
      </w:r>
      <w:r w:rsidRPr="0093118A">
        <w:rPr>
          <w:rFonts w:ascii="Times New Roman" w:hAnsi="Times New Roman" w:cs="Times New Roman"/>
          <w:sz w:val="24"/>
          <w:szCs w:val="24"/>
        </w:rPr>
        <w:t>.</w:t>
      </w:r>
    </w:p>
    <w:p w14:paraId="5044D71F" w14:textId="54E29531" w:rsidR="00BB3DB1" w:rsidRDefault="0093118A" w:rsidP="00FC7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Pre-harvest and post-harvest surveys data were available for 12 and 5 years</w:t>
      </w:r>
      <w:r w:rsidR="00486E99">
        <w:rPr>
          <w:rFonts w:ascii="Times New Roman" w:hAnsi="Times New Roman" w:cs="Times New Roman"/>
          <w:sz w:val="24"/>
          <w:szCs w:val="24"/>
        </w:rPr>
        <w:t xml:space="preserve"> respectively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B3DB1">
        <w:rPr>
          <w:rFonts w:ascii="Times New Roman" w:hAnsi="Times New Roman" w:cs="Times New Roman"/>
          <w:sz w:val="24"/>
          <w:szCs w:val="24"/>
        </w:rPr>
        <w:t>The model overestimate</w:t>
      </w:r>
      <w:r w:rsidR="00486E99">
        <w:rPr>
          <w:rFonts w:ascii="Times New Roman" w:hAnsi="Times New Roman" w:cs="Times New Roman"/>
          <w:sz w:val="24"/>
          <w:szCs w:val="24"/>
        </w:rPr>
        <w:t>d</w:t>
      </w:r>
      <w:r w:rsidR="00BB3DB1">
        <w:rPr>
          <w:rFonts w:ascii="Times New Roman" w:hAnsi="Times New Roman" w:cs="Times New Roman"/>
          <w:sz w:val="24"/>
          <w:szCs w:val="24"/>
        </w:rPr>
        <w:t xml:space="preserve"> yields</w:t>
      </w:r>
      <w:r w:rsidR="00486E99">
        <w:rPr>
          <w:rFonts w:ascii="Times New Roman" w:hAnsi="Times New Roman" w:cs="Times New Roman"/>
          <w:sz w:val="24"/>
          <w:szCs w:val="24"/>
        </w:rPr>
        <w:t xml:space="preserve"> (</w:t>
      </w:r>
      <w:r w:rsidR="00486E99" w:rsidRPr="0093118A">
        <w:rPr>
          <w:rFonts w:ascii="Times New Roman" w:hAnsi="Times New Roman" w:cs="Times New Roman"/>
          <w:sz w:val="24"/>
          <w:szCs w:val="24"/>
        </w:rPr>
        <w:t xml:space="preserve">metric tonnes per </w:t>
      </w:r>
      <w:r w:rsidR="00486E99">
        <w:rPr>
          <w:rFonts w:ascii="Times New Roman" w:hAnsi="Times New Roman" w:cs="Times New Roman"/>
          <w:sz w:val="24"/>
          <w:szCs w:val="24"/>
        </w:rPr>
        <w:t>hectare)</w:t>
      </w:r>
      <w:r w:rsidR="00BB3DB1">
        <w:rPr>
          <w:rFonts w:ascii="Times New Roman" w:hAnsi="Times New Roman" w:cs="Times New Roman"/>
          <w:sz w:val="24"/>
          <w:szCs w:val="24"/>
        </w:rPr>
        <w:t>. To address the issue, bias correction was performed</w:t>
      </w:r>
      <w:r w:rsidR="00486E99">
        <w:rPr>
          <w:rFonts w:ascii="Times New Roman" w:hAnsi="Times New Roman" w:cs="Times New Roman"/>
          <w:sz w:val="24"/>
          <w:szCs w:val="24"/>
        </w:rPr>
        <w:t>. T</w:t>
      </w:r>
      <w:r w:rsidR="00BB3DB1">
        <w:rPr>
          <w:rFonts w:ascii="Times New Roman" w:hAnsi="Times New Roman" w:cs="Times New Roman"/>
          <w:sz w:val="24"/>
          <w:szCs w:val="24"/>
        </w:rPr>
        <w:t xml:space="preserve">he results </w:t>
      </w:r>
      <w:r w:rsidR="00486E99">
        <w:rPr>
          <w:rFonts w:ascii="Times New Roman" w:hAnsi="Times New Roman" w:cs="Times New Roman"/>
          <w:sz w:val="24"/>
          <w:szCs w:val="24"/>
        </w:rPr>
        <w:t xml:space="preserve">are </w:t>
      </w:r>
      <w:r w:rsidR="00BB3DB1">
        <w:rPr>
          <w:rFonts w:ascii="Times New Roman" w:hAnsi="Times New Roman" w:cs="Times New Roman"/>
          <w:sz w:val="24"/>
          <w:szCs w:val="24"/>
        </w:rPr>
        <w:t>shown</w:t>
      </w:r>
      <w:r w:rsidR="00486E99">
        <w:rPr>
          <w:rFonts w:ascii="Times New Roman" w:hAnsi="Times New Roman" w:cs="Times New Roman"/>
          <w:sz w:val="24"/>
          <w:szCs w:val="24"/>
        </w:rPr>
        <w:t xml:space="preserve"> </w:t>
      </w:r>
      <w:r w:rsidR="00BB3DB1">
        <w:rPr>
          <w:rFonts w:ascii="Times New Roman" w:hAnsi="Times New Roman" w:cs="Times New Roman"/>
          <w:sz w:val="24"/>
          <w:szCs w:val="24"/>
        </w:rPr>
        <w:t xml:space="preserve">in the </w:t>
      </w:r>
      <w:r w:rsidR="00486E99">
        <w:rPr>
          <w:rFonts w:ascii="Times New Roman" w:hAnsi="Times New Roman" w:cs="Times New Roman"/>
          <w:sz w:val="24"/>
          <w:szCs w:val="24"/>
        </w:rPr>
        <w:t xml:space="preserve">table and the </w:t>
      </w:r>
      <w:r w:rsidR="00BB3DB1">
        <w:rPr>
          <w:rFonts w:ascii="Times New Roman" w:hAnsi="Times New Roman" w:cs="Times New Roman"/>
          <w:sz w:val="24"/>
          <w:szCs w:val="24"/>
        </w:rPr>
        <w:t>figure below.</w:t>
      </w:r>
      <w:r w:rsidR="009369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49A4A" w14:textId="2D00363F" w:rsidR="00CE3667" w:rsidRDefault="00DB5D8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1456B2" wp14:editId="44CE5C5D">
            <wp:simplePos x="0" y="0"/>
            <wp:positionH relativeFrom="column">
              <wp:posOffset>2933700</wp:posOffset>
            </wp:positionH>
            <wp:positionV relativeFrom="paragraph">
              <wp:posOffset>179251</wp:posOffset>
            </wp:positionV>
            <wp:extent cx="2771775" cy="1866900"/>
            <wp:effectExtent l="0" t="0" r="9525" b="0"/>
            <wp:wrapNone/>
            <wp:docPr id="151126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733" cy="1870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5D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01FB40" wp14:editId="75A0BFA0">
            <wp:extent cx="2895600" cy="2417272"/>
            <wp:effectExtent l="0" t="0" r="0" b="2540"/>
            <wp:docPr id="178164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49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181" cy="243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D89">
        <w:rPr>
          <w:noProof/>
        </w:rPr>
        <w:t xml:space="preserve"> </w:t>
      </w:r>
    </w:p>
    <w:p w14:paraId="437B2F14" w14:textId="1F72CE0B" w:rsidR="001111F0" w:rsidRDefault="001111F0">
      <w:pPr>
        <w:rPr>
          <w:noProof/>
        </w:rPr>
      </w:pPr>
      <w:r>
        <w:rPr>
          <w:noProof/>
        </w:rPr>
        <w:t>Results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5"/>
        <w:gridCol w:w="6835"/>
      </w:tblGrid>
      <w:tr w:rsidR="001111F0" w14:paraId="48B0422C" w14:textId="77777777" w:rsidTr="001111F0">
        <w:tc>
          <w:tcPr>
            <w:tcW w:w="1345" w:type="pct"/>
          </w:tcPr>
          <w:p w14:paraId="418AC54D" w14:textId="7AEC39A1" w:rsidR="001111F0" w:rsidRDefault="00111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</w:p>
        </w:tc>
        <w:tc>
          <w:tcPr>
            <w:tcW w:w="3655" w:type="pct"/>
          </w:tcPr>
          <w:p w14:paraId="03BFEE4C" w14:textId="2CF704C9" w:rsidR="001111F0" w:rsidRDefault="00111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Meaning </w:t>
            </w:r>
          </w:p>
        </w:tc>
      </w:tr>
      <w:tr w:rsidR="001111F0" w14:paraId="55DDA8A3" w14:textId="77777777" w:rsidTr="001111F0">
        <w:tc>
          <w:tcPr>
            <w:tcW w:w="1345" w:type="pct"/>
          </w:tcPr>
          <w:p w14:paraId="2CE76B27" w14:textId="367467B4" w:rsidR="001111F0" w:rsidRDefault="00111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rheas_pre_corrected</w:t>
            </w:r>
          </w:p>
        </w:tc>
        <w:tc>
          <w:tcPr>
            <w:tcW w:w="3655" w:type="pct"/>
          </w:tcPr>
          <w:p w14:paraId="4506707D" w14:textId="1DB98A8F" w:rsidR="001111F0" w:rsidRDefault="00111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results bias corrected with the preharvest crop surveys</w:t>
            </w:r>
          </w:p>
        </w:tc>
      </w:tr>
      <w:tr w:rsidR="001111F0" w14:paraId="6B80CA48" w14:textId="77777777" w:rsidTr="001111F0">
        <w:tc>
          <w:tcPr>
            <w:tcW w:w="1345" w:type="pct"/>
          </w:tcPr>
          <w:p w14:paraId="3BBCF24C" w14:textId="352CBE60" w:rsidR="001111F0" w:rsidRDefault="00111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rheas_post_corrected</w:t>
            </w:r>
          </w:p>
        </w:tc>
        <w:tc>
          <w:tcPr>
            <w:tcW w:w="3655" w:type="pct"/>
          </w:tcPr>
          <w:p w14:paraId="5AA81637" w14:textId="1D2731DB" w:rsidR="001111F0" w:rsidRDefault="00111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results bias corrected with the postharvest crop surveys</w:t>
            </w:r>
          </w:p>
        </w:tc>
      </w:tr>
      <w:tr w:rsidR="001111F0" w14:paraId="0E8602F2" w14:textId="77777777" w:rsidTr="001111F0">
        <w:tc>
          <w:tcPr>
            <w:tcW w:w="1345" w:type="pct"/>
          </w:tcPr>
          <w:p w14:paraId="7DD63614" w14:textId="295FBF33" w:rsidR="001111F0" w:rsidRDefault="00111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preharvest</w:t>
            </w:r>
          </w:p>
        </w:tc>
        <w:tc>
          <w:tcPr>
            <w:tcW w:w="3655" w:type="pct"/>
          </w:tcPr>
          <w:p w14:paraId="1DE5A8B6" w14:textId="60D380E4" w:rsidR="001111F0" w:rsidRDefault="00111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Preharvest maize survey data at provincial level</w:t>
            </w:r>
          </w:p>
        </w:tc>
      </w:tr>
      <w:tr w:rsidR="001111F0" w14:paraId="5337E75A" w14:textId="77777777" w:rsidTr="001111F0">
        <w:tc>
          <w:tcPr>
            <w:tcW w:w="1345" w:type="pct"/>
          </w:tcPr>
          <w:p w14:paraId="56259261" w14:textId="0E571356" w:rsidR="001111F0" w:rsidRDefault="001111F0" w:rsidP="00111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postharvest</w:t>
            </w:r>
          </w:p>
        </w:tc>
        <w:tc>
          <w:tcPr>
            <w:tcW w:w="3655" w:type="pct"/>
          </w:tcPr>
          <w:p w14:paraId="7A6D6E93" w14:textId="2605742B" w:rsidR="001111F0" w:rsidRDefault="001111F0" w:rsidP="00111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harvest maize survey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provincial level</w:t>
            </w:r>
          </w:p>
        </w:tc>
      </w:tr>
      <w:tr w:rsidR="00025BDA" w14:paraId="3F3A1A9A" w14:textId="77777777" w:rsidTr="001111F0">
        <w:tc>
          <w:tcPr>
            <w:tcW w:w="1345" w:type="pct"/>
          </w:tcPr>
          <w:p w14:paraId="66FC48B5" w14:textId="7A2AC486" w:rsidR="00025BDA" w:rsidRDefault="00025BDA" w:rsidP="00111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RHEAS</w:t>
            </w:r>
          </w:p>
        </w:tc>
        <w:tc>
          <w:tcPr>
            <w:tcW w:w="3655" w:type="pct"/>
          </w:tcPr>
          <w:p w14:paraId="777E3166" w14:textId="7CBCACC4" w:rsidR="00025BDA" w:rsidRDefault="00025BDA" w:rsidP="00111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Regional Hydrological Extremes and Assessment System</w:t>
            </w:r>
          </w:p>
        </w:tc>
      </w:tr>
    </w:tbl>
    <w:p w14:paraId="36DEB9F5" w14:textId="4508B9B5" w:rsidR="001111F0" w:rsidRDefault="001111F0">
      <w:pPr>
        <w:rPr>
          <w:rFonts w:ascii="Times New Roman" w:hAnsi="Times New Roman" w:cs="Times New Roman"/>
          <w:sz w:val="24"/>
          <w:szCs w:val="24"/>
        </w:rPr>
      </w:pPr>
    </w:p>
    <w:p w14:paraId="24D87ADC" w14:textId="71F02C22" w:rsidR="001111F0" w:rsidRDefault="00111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model bias corrected with the postharvest data performs better compared to when corrected with the preharvest</w:t>
      </w:r>
      <w:r w:rsidR="00025BDA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025B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1D1FB" w14:textId="5CA0D744" w:rsidR="001111F0" w:rsidRDefault="00111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</w:t>
      </w:r>
    </w:p>
    <w:p w14:paraId="2A1FBD61" w14:textId="7C9D3A4C" w:rsidR="00025BDA" w:rsidRDefault="00025B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RHEAS crop model can be used to complement the crop survey activities. </w:t>
      </w:r>
    </w:p>
    <w:p w14:paraId="038720E5" w14:textId="3988EC6B" w:rsidR="00091958" w:rsidRPr="00025BDA" w:rsidRDefault="00936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needs appropriate datasets that include </w:t>
      </w:r>
      <w:r w:rsidR="001111F0">
        <w:rPr>
          <w:rFonts w:ascii="Times New Roman" w:hAnsi="Times New Roman" w:cs="Times New Roman"/>
          <w:sz w:val="24"/>
          <w:szCs w:val="24"/>
        </w:rPr>
        <w:t xml:space="preserve">longer years of district level postharvest surveys, </w:t>
      </w:r>
      <w:r>
        <w:rPr>
          <w:rFonts w:ascii="Times New Roman" w:hAnsi="Times New Roman" w:cs="Times New Roman"/>
          <w:sz w:val="24"/>
          <w:szCs w:val="24"/>
        </w:rPr>
        <w:t>the areas of maize crop farming, maize specific seeds (cultivars) planted in each of the districts and other datasets for calibration.</w:t>
      </w:r>
    </w:p>
    <w:sectPr w:rsidR="00091958" w:rsidRPr="0002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58"/>
    <w:rsid w:val="000159EE"/>
    <w:rsid w:val="00025BDA"/>
    <w:rsid w:val="00091958"/>
    <w:rsid w:val="001111F0"/>
    <w:rsid w:val="001A4F6C"/>
    <w:rsid w:val="003D64FC"/>
    <w:rsid w:val="00407FE6"/>
    <w:rsid w:val="00486E99"/>
    <w:rsid w:val="006922AE"/>
    <w:rsid w:val="006B19F1"/>
    <w:rsid w:val="00796992"/>
    <w:rsid w:val="0093118A"/>
    <w:rsid w:val="009369AF"/>
    <w:rsid w:val="009F0BA4"/>
    <w:rsid w:val="00AE7790"/>
    <w:rsid w:val="00AF042B"/>
    <w:rsid w:val="00BB3DB1"/>
    <w:rsid w:val="00CE3667"/>
    <w:rsid w:val="00D1033E"/>
    <w:rsid w:val="00D52A3C"/>
    <w:rsid w:val="00DB5D89"/>
    <w:rsid w:val="00ED6A6C"/>
    <w:rsid w:val="00FC5630"/>
    <w:rsid w:val="00FC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96A2"/>
  <w15:chartTrackingRefBased/>
  <w15:docId w15:val="{222C14EB-8D79-4397-8541-B61D9B93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Frankline Rono</dc:creator>
  <cp:keywords/>
  <dc:description/>
  <cp:lastModifiedBy>Frankline Rono</cp:lastModifiedBy>
  <cp:revision>7</cp:revision>
  <dcterms:created xsi:type="dcterms:W3CDTF">2023-05-04T10:00:00Z</dcterms:created>
  <dcterms:modified xsi:type="dcterms:W3CDTF">2023-05-10T12:29:00Z</dcterms:modified>
</cp:coreProperties>
</file>