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jc w:val="center"/>
        <w:rPr>
          <w:rFonts w:hint="default"/>
          <w:lang w:val="en-US"/>
        </w:rPr>
      </w:pPr>
      <w:r>
        <w:rPr>
          <w:rFonts w:hint="default"/>
          <w:lang w:val="en-US"/>
        </w:rPr>
        <w:t xml:space="preserve">                                                                                           BrandOne,</w:t>
      </w:r>
    </w:p>
    <w:p>
      <w:pPr>
        <w:jc w:val="right"/>
        <w:rPr>
          <w:rFonts w:hint="default"/>
          <w:lang w:val="en-US"/>
        </w:rPr>
      </w:pPr>
      <w:r>
        <w:rPr>
          <w:rFonts w:hint="default"/>
          <w:lang w:val="en-US"/>
        </w:rPr>
        <w:t xml:space="preserve">        Plot 1336 Ibrahim Isiyku street,</w:t>
      </w:r>
    </w:p>
    <w:p>
      <w:pPr>
        <w:jc w:val="center"/>
        <w:rPr>
          <w:rFonts w:hint="default"/>
          <w:lang w:val="en-US"/>
        </w:rPr>
      </w:pPr>
      <w:r>
        <w:rPr>
          <w:rFonts w:hint="default"/>
          <w:lang w:val="en-US"/>
        </w:rPr>
        <w:t xml:space="preserve">                                                                                        Mabushi.</w:t>
      </w:r>
    </w:p>
    <w:p>
      <w:pPr>
        <w:jc w:val="center"/>
        <w:rPr>
          <w:rFonts w:hint="default"/>
          <w:lang w:val="en-US"/>
        </w:rPr>
      </w:pPr>
      <w:r>
        <w:rPr>
          <w:rFonts w:hint="default"/>
          <w:lang w:val="en-US"/>
        </w:rPr>
        <w:t xml:space="preserve">                                                                                                      8</w:t>
      </w:r>
      <w:r>
        <w:rPr>
          <w:rFonts w:hint="default"/>
          <w:vertAlign w:val="superscript"/>
          <w:lang w:val="en-US"/>
        </w:rPr>
        <w:t>th</w:t>
      </w:r>
      <w:r>
        <w:rPr>
          <w:rFonts w:hint="default"/>
          <w:lang w:val="en-US"/>
        </w:rPr>
        <w:t xml:space="preserve"> August, 2023.</w:t>
      </w:r>
    </w:p>
    <w:p>
      <w:pPr>
        <w:jc w:val="center"/>
        <w:rPr>
          <w:rFonts w:hint="default"/>
          <w:lang w:val="en-US"/>
        </w:rPr>
      </w:pPr>
    </w:p>
    <w:p>
      <w:pPr>
        <w:rPr>
          <w:rFonts w:hint="default"/>
          <w:lang w:val="en-US"/>
        </w:rPr>
      </w:pPr>
      <w:r>
        <w:rPr>
          <w:rFonts w:hint="default"/>
          <w:lang w:val="en-US"/>
        </w:rPr>
        <w:t>NMDPRA,</w:t>
      </w:r>
    </w:p>
    <w:p>
      <w:pPr>
        <w:rPr>
          <w:rFonts w:hint="default"/>
          <w:lang w:val="en-US"/>
        </w:rPr>
      </w:pPr>
      <w:r>
        <w:rPr>
          <w:rFonts w:hint="default"/>
          <w:lang w:val="en-US"/>
        </w:rPr>
        <w:t>Jabi,</w:t>
      </w:r>
    </w:p>
    <w:p>
      <w:pPr>
        <w:rPr>
          <w:rFonts w:hint="default"/>
          <w:lang w:val="en-US"/>
        </w:rPr>
      </w:pPr>
      <w:r>
        <w:rPr>
          <w:rFonts w:hint="default"/>
          <w:lang w:val="en-US"/>
        </w:rPr>
        <w:t>FCT.</w:t>
      </w:r>
    </w:p>
    <w:p>
      <w:pPr>
        <w:rPr>
          <w:rFonts w:hint="default"/>
          <w:lang w:val="en-US"/>
        </w:rPr>
      </w:pPr>
    </w:p>
    <w:p>
      <w:pPr>
        <w:rPr>
          <w:rFonts w:hint="default"/>
          <w:lang w:val="en-US"/>
        </w:rPr>
      </w:pPr>
      <w:r>
        <w:rPr>
          <w:rFonts w:hint="default"/>
          <w:lang w:val="en-US"/>
        </w:rPr>
        <w:t>Dear Sir/Ma</w:t>
      </w:r>
      <w:bookmarkStart w:id="0" w:name="_GoBack"/>
      <w:bookmarkEnd w:id="0"/>
      <w:r>
        <w:rPr>
          <w:rFonts w:hint="default"/>
          <w:lang w:val="en-US"/>
        </w:rPr>
        <w:t>,</w:t>
      </w:r>
    </w:p>
    <w:p>
      <w:pPr>
        <w:rPr>
          <w:rFonts w:hint="default"/>
          <w:lang w:val="en-US"/>
        </w:rPr>
      </w:pPr>
    </w:p>
    <w:p>
      <w:pPr>
        <w:jc w:val="center"/>
        <w:rPr>
          <w:rFonts w:hint="default"/>
          <w:b/>
          <w:bCs/>
          <w:lang w:val="en-US"/>
        </w:rPr>
      </w:pPr>
      <w:r>
        <w:rPr>
          <w:rFonts w:hint="default"/>
          <w:b/>
          <w:bCs/>
          <w:lang w:val="en-US"/>
        </w:rPr>
        <w:t>CONFIRMATION OF CHANGES AND ADJUSTMENTS TO THE BUNKERING LICENSING PORTAL</w:t>
      </w:r>
    </w:p>
    <w:p>
      <w:pPr>
        <w:rPr>
          <w:rFonts w:hint="default"/>
          <w:lang w:val="en-US"/>
        </w:rPr>
      </w:pPr>
    </w:p>
    <w:p>
      <w:pPr>
        <w:rPr>
          <w:rFonts w:hint="default"/>
          <w:lang w:val="en-US"/>
        </w:rPr>
      </w:pPr>
      <w:r>
        <w:rPr>
          <w:rFonts w:hint="default"/>
          <w:lang w:val="en-US"/>
        </w:rPr>
        <w:t xml:space="preserve"> I am writing to officially confirm the recent changes and adjustments that have been made to the bunkering licensing portal. These changes aim to streamline the process, enhance efficiency, and improve clarity for both companies seeking licenses and the regulatory authorities overseeing the bunkering activities. Please find below a comprehensive summary of the modifications that have been implemented:</w:t>
      </w:r>
    </w:p>
    <w:p>
      <w:pPr>
        <w:rPr>
          <w:rFonts w:hint="default"/>
          <w:lang w:val="en-US"/>
        </w:rPr>
      </w:pPr>
    </w:p>
    <w:p>
      <w:pPr>
        <w:rPr>
          <w:rFonts w:hint="default"/>
          <w:lang w:val="en-US"/>
        </w:rPr>
      </w:pPr>
      <w:r>
        <w:rPr>
          <w:rFonts w:hint="default"/>
          <w:lang w:val="en-US"/>
        </w:rPr>
        <w:t xml:space="preserve">1.  </w:t>
      </w:r>
      <w:r>
        <w:rPr>
          <w:rFonts w:hint="default"/>
          <w:b/>
          <w:bCs/>
          <w:lang w:val="en-US"/>
        </w:rPr>
        <w:t>Multiple Facilities Selection</w:t>
      </w:r>
      <w:r>
        <w:rPr>
          <w:rFonts w:hint="default"/>
          <w:lang w:val="en-US"/>
        </w:rPr>
        <w:t>: Companies are now permitted to select multiple facilities for their bunkering operations.</w:t>
      </w:r>
    </w:p>
    <w:p>
      <w:pPr>
        <w:rPr>
          <w:rFonts w:hint="default"/>
          <w:lang w:val="en-US"/>
        </w:rPr>
      </w:pPr>
    </w:p>
    <w:p>
      <w:pPr>
        <w:rPr>
          <w:rFonts w:hint="default"/>
          <w:lang w:val="en-US"/>
        </w:rPr>
      </w:pPr>
      <w:r>
        <w:rPr>
          <w:rFonts w:hint="default"/>
          <w:lang w:val="en-US"/>
        </w:rPr>
        <w:t xml:space="preserve">2.  </w:t>
      </w:r>
      <w:r>
        <w:rPr>
          <w:rFonts w:hint="default"/>
          <w:b/>
          <w:bCs/>
          <w:lang w:val="en-US"/>
        </w:rPr>
        <w:t>Fixed Licensing Minimum and Validity</w:t>
      </w:r>
      <w:r>
        <w:rPr>
          <w:rFonts w:hint="default"/>
          <w:lang w:val="en-US"/>
        </w:rPr>
        <w:t>: Fixed licensing now accommodates a minimum of 5 facilities and all licenses issued will have a mandatory validity period to maintain compliance.</w:t>
      </w:r>
    </w:p>
    <w:p>
      <w:pPr>
        <w:rPr>
          <w:rFonts w:hint="default"/>
          <w:lang w:val="en-US"/>
        </w:rPr>
      </w:pPr>
    </w:p>
    <w:p>
      <w:pPr>
        <w:rPr>
          <w:rFonts w:hint="default"/>
          <w:lang w:val="en-US"/>
        </w:rPr>
      </w:pPr>
      <w:r>
        <w:rPr>
          <w:rFonts w:hint="default"/>
          <w:lang w:val="en-US"/>
        </w:rPr>
        <w:t xml:space="preserve">3.  </w:t>
      </w:r>
      <w:r>
        <w:rPr>
          <w:rFonts w:hint="default"/>
          <w:b/>
          <w:bCs/>
          <w:lang w:val="en-US"/>
        </w:rPr>
        <w:t>Change in Terminology for License Number</w:t>
      </w:r>
      <w:r>
        <w:rPr>
          <w:rFonts w:hint="default"/>
          <w:lang w:val="en-US"/>
        </w:rPr>
        <w:t>: The term "License Number" has been revised to "License Number of Fixed Facilities" to provide a more accurate representation of the licensing structure.</w:t>
      </w:r>
    </w:p>
    <w:p>
      <w:pPr>
        <w:rPr>
          <w:rFonts w:hint="default"/>
          <w:lang w:val="en-US"/>
        </w:rPr>
      </w:pPr>
    </w:p>
    <w:p>
      <w:pPr>
        <w:rPr>
          <w:rFonts w:hint="default"/>
          <w:lang w:val="en-US"/>
        </w:rPr>
      </w:pPr>
      <w:r>
        <w:rPr>
          <w:rFonts w:hint="default"/>
          <w:lang w:val="en-US"/>
        </w:rPr>
        <w:t xml:space="preserve">4.  </w:t>
      </w:r>
      <w:r>
        <w:rPr>
          <w:rFonts w:hint="default"/>
          <w:b/>
          <w:bCs/>
          <w:lang w:val="en-US"/>
        </w:rPr>
        <w:t>Change in Terminology for Facility Types</w:t>
      </w:r>
      <w:r>
        <w:rPr>
          <w:rFonts w:hint="default"/>
          <w:lang w:val="en-US"/>
        </w:rPr>
        <w:t>: The term "Types of Facilities" has been updated to "Source of Products" to better reflect the nature of the operations and products involved.</w:t>
      </w:r>
    </w:p>
    <w:p>
      <w:pPr>
        <w:rPr>
          <w:rFonts w:hint="default"/>
          <w:lang w:val="en-US"/>
        </w:rPr>
      </w:pPr>
    </w:p>
    <w:p>
      <w:pPr>
        <w:numPr>
          <w:ilvl w:val="0"/>
          <w:numId w:val="1"/>
        </w:numPr>
        <w:rPr>
          <w:rFonts w:hint="default"/>
          <w:lang w:val="en-US"/>
        </w:rPr>
      </w:pPr>
      <w:r>
        <w:rPr>
          <w:rFonts w:hint="default"/>
          <w:lang w:val="en-US"/>
        </w:rPr>
        <w:t xml:space="preserve"> </w:t>
      </w:r>
      <w:r>
        <w:rPr>
          <w:rFonts w:hint="default"/>
          <w:b/>
          <w:bCs/>
          <w:lang w:val="en-US"/>
        </w:rPr>
        <w:t>Fee Adjustment and Currency</w:t>
      </w:r>
      <w:r>
        <w:rPr>
          <w:rFonts w:hint="default"/>
          <w:lang w:val="en-US"/>
        </w:rPr>
        <w:t>: The fees for licensing have been updated to 10 Million Naira. Additionally, it is worth noting that payments in Dollars are no longer required or accepted.</w:t>
      </w:r>
    </w:p>
    <w:p>
      <w:pPr>
        <w:rPr>
          <w:rFonts w:hint="default"/>
          <w:lang w:val="en-US"/>
        </w:rPr>
      </w:pPr>
    </w:p>
    <w:p>
      <w:pPr>
        <w:rPr>
          <w:rFonts w:hint="default"/>
          <w:lang w:val="en-US"/>
        </w:rPr>
      </w:pPr>
      <w:r>
        <w:rPr>
          <w:rFonts w:hint="default"/>
          <w:lang w:val="en-US"/>
        </w:rPr>
        <w:t xml:space="preserve">6. </w:t>
      </w:r>
      <w:r>
        <w:rPr>
          <w:rFonts w:hint="default"/>
          <w:b/>
          <w:bCs/>
          <w:lang w:val="en-US"/>
        </w:rPr>
        <w:t xml:space="preserve"> Required Document List</w:t>
      </w:r>
      <w:r>
        <w:rPr>
          <w:rFonts w:hint="default"/>
          <w:lang w:val="en-US"/>
        </w:rPr>
        <w:t>: The list of necessary documents required for the application process has been reconfigured and will be displayed clearly for the convenience of applicants.</w:t>
      </w:r>
    </w:p>
    <w:p>
      <w:pPr>
        <w:rPr>
          <w:rFonts w:hint="default"/>
          <w:lang w:val="en-US"/>
        </w:rPr>
      </w:pPr>
    </w:p>
    <w:p>
      <w:pPr>
        <w:rPr>
          <w:rFonts w:hint="default"/>
          <w:lang w:val="en-US"/>
        </w:rPr>
      </w:pPr>
      <w:r>
        <w:rPr>
          <w:rFonts w:hint="default"/>
          <w:lang w:val="en-US"/>
        </w:rPr>
        <w:t xml:space="preserve">7.  </w:t>
      </w:r>
      <w:r>
        <w:rPr>
          <w:rFonts w:hint="default"/>
          <w:b/>
          <w:bCs/>
          <w:lang w:val="en-US"/>
        </w:rPr>
        <w:t>Specification of Facility Types</w:t>
      </w:r>
      <w:r>
        <w:rPr>
          <w:rFonts w:hint="default"/>
          <w:lang w:val="en-US"/>
        </w:rPr>
        <w:t>: Facility types are now required to be specified, encompassing vessels such as ships, boats, and others for improved clarity and categorization.</w:t>
      </w:r>
    </w:p>
    <w:p>
      <w:pPr>
        <w:rPr>
          <w:rFonts w:hint="default"/>
          <w:lang w:val="en-US"/>
        </w:rPr>
      </w:pPr>
    </w:p>
    <w:p>
      <w:pPr>
        <w:rPr>
          <w:rFonts w:hint="default"/>
          <w:lang w:val="en-US"/>
        </w:rPr>
      </w:pPr>
      <w:r>
        <w:rPr>
          <w:rFonts w:hint="default"/>
          <w:lang w:val="en-US"/>
        </w:rPr>
        <w:t xml:space="preserve">8. </w:t>
      </w:r>
      <w:r>
        <w:rPr>
          <w:rFonts w:hint="default"/>
          <w:b/>
          <w:bCs/>
          <w:lang w:val="en-US"/>
        </w:rPr>
        <w:t xml:space="preserve"> Change in Terminology for Facility Name</w:t>
      </w:r>
      <w:r>
        <w:rPr>
          <w:rFonts w:hint="default"/>
          <w:lang w:val="en-US"/>
        </w:rPr>
        <w:t>: The term "Facility Name" has been revised to "Name of Company" to align with the organizational structure of applicants.</w:t>
      </w:r>
    </w:p>
    <w:p>
      <w:pPr>
        <w:rPr>
          <w:rFonts w:hint="default"/>
          <w:lang w:val="en-US"/>
        </w:rPr>
      </w:pPr>
    </w:p>
    <w:p>
      <w:pPr>
        <w:rPr>
          <w:rFonts w:hint="default"/>
          <w:lang w:val="en-US"/>
        </w:rPr>
      </w:pPr>
      <w:r>
        <w:rPr>
          <w:rFonts w:hint="default"/>
          <w:lang w:val="en-US"/>
        </w:rPr>
        <w:t xml:space="preserve">9.  </w:t>
      </w:r>
      <w:r>
        <w:rPr>
          <w:rFonts w:hint="default"/>
          <w:b/>
          <w:bCs/>
          <w:lang w:val="en-US"/>
        </w:rPr>
        <w:t>Listing of Vessel Types</w:t>
      </w:r>
      <w:r>
        <w:rPr>
          <w:rFonts w:hint="default"/>
          <w:lang w:val="en-US"/>
        </w:rPr>
        <w:t>: A comprehensive list of vessel types will be provided to ensure accurate classification of bunkering vessels.</w:t>
      </w:r>
    </w:p>
    <w:p>
      <w:pPr>
        <w:rPr>
          <w:rFonts w:hint="default"/>
          <w:lang w:val="en-US"/>
        </w:rPr>
      </w:pPr>
    </w:p>
    <w:p>
      <w:pPr>
        <w:rPr>
          <w:rFonts w:hint="default"/>
          <w:lang w:val="en-US"/>
        </w:rPr>
      </w:pPr>
      <w:r>
        <w:rPr>
          <w:rFonts w:hint="default"/>
          <w:lang w:val="en-US"/>
        </w:rPr>
        <w:t xml:space="preserve">10.  </w:t>
      </w:r>
      <w:r>
        <w:rPr>
          <w:rFonts w:hint="default"/>
          <w:b/>
          <w:bCs/>
          <w:lang w:val="en-US"/>
        </w:rPr>
        <w:t>Removal of Dollar Payment Option</w:t>
      </w:r>
      <w:r>
        <w:rPr>
          <w:rFonts w:hint="default"/>
          <w:lang w:val="en-US"/>
        </w:rPr>
        <w:t>: As Dollar payments are no longer needed, the Foreign Account Declaration (FAD) requirement has been eliminated.</w:t>
      </w:r>
    </w:p>
    <w:p>
      <w:pPr>
        <w:rPr>
          <w:rFonts w:hint="default"/>
          <w:lang w:val="en-US"/>
        </w:rPr>
      </w:pPr>
    </w:p>
    <w:p>
      <w:pPr>
        <w:rPr>
          <w:rFonts w:hint="default"/>
          <w:lang w:val="en-US"/>
        </w:rPr>
      </w:pPr>
      <w:r>
        <w:rPr>
          <w:rFonts w:hint="default"/>
          <w:lang w:val="en-US"/>
        </w:rPr>
        <w:t xml:space="preserve">11. </w:t>
      </w:r>
      <w:r>
        <w:rPr>
          <w:rFonts w:hint="default"/>
          <w:b/>
          <w:bCs/>
          <w:lang w:val="en-US"/>
        </w:rPr>
        <w:t>Vessel Information Addition</w:t>
      </w:r>
      <w:r>
        <w:rPr>
          <w:rFonts w:hint="default"/>
          <w:lang w:val="en-US"/>
        </w:rPr>
        <w:t>: The following vessel information details have been incorporated:</w:t>
      </w:r>
    </w:p>
    <w:p>
      <w:pPr>
        <w:rPr>
          <w:rFonts w:hint="default"/>
          <w:lang w:val="en-US"/>
        </w:rPr>
      </w:pPr>
      <w:r>
        <w:rPr>
          <w:rFonts w:hint="default"/>
          <w:lang w:val="en-US"/>
        </w:rPr>
        <w:t xml:space="preserve">   - Vessel Name</w:t>
      </w:r>
    </w:p>
    <w:p>
      <w:pPr>
        <w:rPr>
          <w:rFonts w:hint="default"/>
          <w:lang w:val="en-US"/>
        </w:rPr>
      </w:pPr>
      <w:r>
        <w:rPr>
          <w:rFonts w:hint="default"/>
          <w:lang w:val="en-US"/>
        </w:rPr>
        <w:t xml:space="preserve">   - Dead Weight / Capacity</w:t>
      </w:r>
    </w:p>
    <w:p>
      <w:pPr>
        <w:rPr>
          <w:rFonts w:hint="default"/>
          <w:lang w:val="en-US"/>
        </w:rPr>
      </w:pPr>
      <w:r>
        <w:rPr>
          <w:rFonts w:hint="default"/>
          <w:lang w:val="en-US"/>
        </w:rPr>
        <w:t xml:space="preserve">   - Operator</w:t>
      </w:r>
    </w:p>
    <w:p>
      <w:pPr>
        <w:rPr>
          <w:rFonts w:hint="default"/>
          <w:lang w:val="en-US"/>
        </w:rPr>
      </w:pPr>
    </w:p>
    <w:p>
      <w:pPr>
        <w:rPr>
          <w:rFonts w:hint="default"/>
          <w:lang w:val="en-US"/>
        </w:rPr>
      </w:pPr>
      <w:r>
        <w:rPr>
          <w:rFonts w:hint="default"/>
          <w:lang w:val="en-US"/>
        </w:rPr>
        <w:t xml:space="preserve">12. </w:t>
      </w:r>
      <w:r>
        <w:rPr>
          <w:rFonts w:hint="default"/>
          <w:b/>
          <w:bCs/>
          <w:lang w:val="en-US"/>
        </w:rPr>
        <w:t>Vessel Type Update</w:t>
      </w:r>
      <w:r>
        <w:rPr>
          <w:rFonts w:hint="default"/>
          <w:lang w:val="en-US"/>
        </w:rPr>
        <w:t>: Vessel Type has been adjusted to "Badge/Vessel" to accurately reflect the vessel's classification.</w:t>
      </w:r>
    </w:p>
    <w:p>
      <w:pPr>
        <w:rPr>
          <w:rFonts w:hint="default"/>
          <w:lang w:val="en-US"/>
        </w:rPr>
      </w:pPr>
    </w:p>
    <w:p>
      <w:pPr>
        <w:rPr>
          <w:rFonts w:hint="default"/>
          <w:lang w:val="en-US"/>
        </w:rPr>
      </w:pPr>
      <w:r>
        <w:rPr>
          <w:rFonts w:hint="default"/>
          <w:lang w:val="en-US"/>
        </w:rPr>
        <w:t xml:space="preserve">13. </w:t>
      </w:r>
      <w:r>
        <w:rPr>
          <w:rFonts w:hint="default"/>
          <w:b/>
          <w:bCs/>
          <w:lang w:val="en-US"/>
        </w:rPr>
        <w:t>Source of Bunkering Fuel/Activities Display</w:t>
      </w:r>
      <w:r>
        <w:rPr>
          <w:rFonts w:hint="default"/>
          <w:lang w:val="en-US"/>
        </w:rPr>
        <w:t>: The application process will commence with the display of the source of bunkering fuel/activities. For fixed facilities, options include depot tanks, and for mobile facilities, options include imports linked to permits.</w:t>
      </w:r>
    </w:p>
    <w:p>
      <w:pPr>
        <w:rPr>
          <w:rFonts w:hint="default"/>
          <w:lang w:val="en-US"/>
        </w:rPr>
      </w:pPr>
    </w:p>
    <w:p>
      <w:pPr>
        <w:rPr>
          <w:rFonts w:hint="default"/>
          <w:lang w:val="en-US"/>
        </w:rPr>
      </w:pPr>
      <w:r>
        <w:rPr>
          <w:rFonts w:hint="default"/>
          <w:lang w:val="en-US"/>
        </w:rPr>
        <w:t xml:space="preserve">14. </w:t>
      </w:r>
      <w:r>
        <w:rPr>
          <w:rFonts w:hint="default"/>
          <w:b/>
          <w:bCs/>
          <w:lang w:val="en-US"/>
        </w:rPr>
        <w:t>Vessel Selection</w:t>
      </w:r>
      <w:r>
        <w:rPr>
          <w:rFonts w:hint="default"/>
          <w:lang w:val="en-US"/>
        </w:rPr>
        <w:t>: After source selection, the procedure continues with the selection of vessels for bunkering operations.</w:t>
      </w:r>
    </w:p>
    <w:p>
      <w:pPr>
        <w:rPr>
          <w:rFonts w:hint="default"/>
          <w:lang w:val="en-US"/>
        </w:rPr>
      </w:pPr>
    </w:p>
    <w:p>
      <w:pPr>
        <w:rPr>
          <w:rFonts w:hint="default"/>
          <w:lang w:val="en-US"/>
        </w:rPr>
      </w:pPr>
      <w:r>
        <w:rPr>
          <w:rFonts w:hint="default"/>
          <w:lang w:val="en-US"/>
        </w:rPr>
        <w:t>15.</w:t>
      </w:r>
      <w:r>
        <w:rPr>
          <w:rFonts w:hint="default"/>
          <w:b/>
          <w:bCs/>
          <w:lang w:val="en-US"/>
        </w:rPr>
        <w:t xml:space="preserve"> Vessel Name and Capacity Capture</w:t>
      </w:r>
      <w:r>
        <w:rPr>
          <w:rFonts w:hint="default"/>
          <w:lang w:val="en-US"/>
        </w:rPr>
        <w:t>: Companies are now required to provide the names and capacities of the selected vessels for accurate record-keeping.</w:t>
      </w:r>
    </w:p>
    <w:p>
      <w:pPr>
        <w:rPr>
          <w:rFonts w:hint="default"/>
          <w:lang w:val="en-US"/>
        </w:rPr>
      </w:pPr>
    </w:p>
    <w:p>
      <w:pPr>
        <w:rPr>
          <w:rFonts w:hint="default"/>
          <w:lang w:val="en-US"/>
        </w:rPr>
      </w:pPr>
      <w:r>
        <w:rPr>
          <w:rFonts w:hint="default"/>
          <w:lang w:val="en-US"/>
        </w:rPr>
        <w:t xml:space="preserve">16. </w:t>
      </w:r>
      <w:r>
        <w:rPr>
          <w:rFonts w:hint="default"/>
          <w:b/>
          <w:bCs/>
          <w:lang w:val="en-US"/>
        </w:rPr>
        <w:t>Licensing Per Vessel</w:t>
      </w:r>
      <w:r>
        <w:rPr>
          <w:rFonts w:hint="default"/>
          <w:lang w:val="en-US"/>
        </w:rPr>
        <w:t>: Each vessel selected will now have a distinct license to ensure clear and precise regulatory compliance.</w:t>
      </w:r>
    </w:p>
    <w:p>
      <w:pPr>
        <w:rPr>
          <w:rFonts w:hint="default"/>
          <w:lang w:val="en-US"/>
        </w:rPr>
      </w:pPr>
    </w:p>
    <w:p>
      <w:pPr>
        <w:rPr>
          <w:rFonts w:hint="default"/>
          <w:lang w:val="en-US"/>
        </w:rPr>
      </w:pPr>
      <w:r>
        <w:rPr>
          <w:rFonts w:hint="default"/>
          <w:lang w:val="en-US"/>
        </w:rPr>
        <w:t xml:space="preserve">17. </w:t>
      </w:r>
      <w:r>
        <w:rPr>
          <w:rFonts w:hint="default"/>
          <w:b/>
          <w:bCs/>
          <w:lang w:val="en-US"/>
        </w:rPr>
        <w:t>Compulsory CVL for All Bunkers</w:t>
      </w:r>
      <w:r>
        <w:rPr>
          <w:rFonts w:hint="default"/>
          <w:lang w:val="en-US"/>
        </w:rPr>
        <w:t>: All bunkers must possess a Coaster Vessel License (CVL) as a mandatory requirement.</w:t>
      </w:r>
    </w:p>
    <w:p>
      <w:pPr>
        <w:rPr>
          <w:rFonts w:hint="default"/>
          <w:lang w:val="en-US"/>
        </w:rPr>
      </w:pPr>
    </w:p>
    <w:p>
      <w:pPr>
        <w:rPr>
          <w:rFonts w:hint="default"/>
          <w:lang w:val="en-US"/>
        </w:rPr>
      </w:pPr>
      <w:r>
        <w:rPr>
          <w:rFonts w:hint="default"/>
          <w:lang w:val="en-US"/>
        </w:rPr>
        <w:t xml:space="preserve">18. </w:t>
      </w:r>
      <w:r>
        <w:rPr>
          <w:rFonts w:hint="default"/>
          <w:b/>
          <w:bCs/>
          <w:lang w:val="en-US"/>
        </w:rPr>
        <w:t>CVL Upload in Bunkering Portal</w:t>
      </w:r>
      <w:r>
        <w:rPr>
          <w:rFonts w:hint="default"/>
          <w:lang w:val="en-US"/>
        </w:rPr>
        <w:t>: Companies are instructed to upload their Coaster Vessel Licenses (CVLs) via the designated online portal named "Bunkering Portal."</w:t>
      </w:r>
    </w:p>
    <w:p>
      <w:pPr>
        <w:rPr>
          <w:rFonts w:hint="default"/>
          <w:lang w:val="en-US"/>
        </w:rPr>
      </w:pPr>
    </w:p>
    <w:p>
      <w:pPr>
        <w:keepNext w:val="0"/>
        <w:keepLines w:val="0"/>
        <w:widowControl/>
        <w:suppressLineNumbers w:val="0"/>
        <w:jc w:val="left"/>
      </w:pPr>
      <w:r>
        <w:rPr>
          <w:rFonts w:ascii="Calibri" w:hAnsi="Calibri" w:eastAsia="SimSun" w:cs="Calibri"/>
          <w:b/>
          <w:bCs/>
          <w:color w:val="000000"/>
          <w:kern w:val="0"/>
          <w:sz w:val="24"/>
          <w:szCs w:val="24"/>
          <w:lang w:val="en-US" w:eastAsia="zh-CN" w:bidi="ar"/>
        </w:rPr>
        <w:t xml:space="preserve">N.B </w:t>
      </w:r>
    </w:p>
    <w:p>
      <w:pPr>
        <w:keepNext w:val="0"/>
        <w:keepLines w:val="0"/>
        <w:widowControl/>
        <w:suppressLineNumbers w:val="0"/>
        <w:jc w:val="left"/>
        <w:rPr>
          <w:sz w:val="20"/>
          <w:szCs w:val="20"/>
        </w:rPr>
      </w:pPr>
      <w:r>
        <w:rPr>
          <w:rFonts w:hint="default" w:ascii="Calibri" w:hAnsi="Calibri" w:eastAsia="SimSun" w:cs="Calibri"/>
          <w:color w:val="000000"/>
          <w:kern w:val="0"/>
          <w:sz w:val="20"/>
          <w:szCs w:val="20"/>
          <w:lang w:val="en-US" w:eastAsia="zh-CN" w:bidi="ar"/>
        </w:rPr>
        <w:t>There are no restriction of multiple people using the same source and only 1 vessel should be licensed.</w:t>
      </w:r>
    </w:p>
    <w:p>
      <w:pPr>
        <w:rPr>
          <w:rFonts w:hint="default"/>
          <w:lang w:val="en-US"/>
        </w:rPr>
      </w:pPr>
    </w:p>
    <w:p>
      <w:pPr>
        <w:rPr>
          <w:rFonts w:hint="default"/>
          <w:lang w:val="en-US"/>
        </w:rPr>
      </w:pPr>
    </w:p>
    <w:p>
      <w:pPr>
        <w:rPr>
          <w:rFonts w:hint="default"/>
          <w:lang w:val="en-US"/>
        </w:rPr>
      </w:pPr>
      <w:r>
        <w:rPr>
          <w:rFonts w:hint="default"/>
          <w:lang w:val="en-US"/>
        </w:rPr>
        <w:t>Sincerely,</w:t>
      </w:r>
    </w:p>
    <w:p>
      <w:pPr>
        <w:rPr>
          <w:rFonts w:hint="default"/>
          <w:lang w:val="en-US"/>
        </w:rPr>
      </w:pPr>
    </w:p>
    <w:p>
      <w:pPr>
        <w:rPr>
          <w:rFonts w:hint="default"/>
          <w:lang w:val="en-US"/>
        </w:rPr>
      </w:pPr>
      <w:r>
        <w:rPr>
          <w:rFonts w:hint="default"/>
          <w:lang w:val="en-US"/>
        </w:rPr>
        <w:t>BrandOne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DDA382"/>
    <w:multiLevelType w:val="singleLevel"/>
    <w:tmpl w:val="BEDDA382"/>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1117A5"/>
    <w:rsid w:val="5C111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2023-08-08T11:30:00Z</dcterms:created>
  <dc:creator>anyan</dc:creator>
  <cp:lastModifiedBy>Anyanwu Chiamaka</cp:lastModifiedBy>
  <dcterms:modified xsi:type="dcterms:W3CDTF">2023-08-08T12:46:47Z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2057-12.2.0.13110</vt:lpwstr>
  </property>
  <property fmtid="{D5CDD505-2E9C-101B-9397-08002B2CF9AE}" pid="3" name="ICV">
    <vt:lpwstr>4DC54898D8DD4D9687B822FEAF267969_11</vt:lpwstr>
  </property>
</Properties>
</file>