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Rule="auto" w:line="276"/>
        <w:jc w:val="center"/>
      </w:pPr>
      <w:r>
        <w:rPr>
          <w:rFonts w:ascii="Times New Roman" w:hAnsi="Times New Roman" w:eastAsia="Times New Roman"/>
          <w:b/>
          <w:i w:val="0"/>
          <w:sz w:val="28"/>
        </w:rPr>
        <w:t>CHAPTER TWO: THEORY, BACKGROUND AND REVIEW</w:t>
      </w:r>
    </w:p>
    <w:p>
      <w:pPr>
        <w:spacing w:before="360" w:after="200" w:lineRule="auto" w:line="276"/>
      </w:pPr>
      <w:r>
        <w:rPr>
          <w:rFonts w:ascii="Times New Roman" w:hAnsi="Times New Roman" w:eastAsia="Times New Roman"/>
          <w:b/>
          <w:i w:val="0"/>
          <w:sz w:val="26"/>
        </w:rPr>
        <w:t>2.1 Introduction</w:t>
      </w:r>
    </w:p>
    <w:p>
      <w:pPr>
        <w:spacing w:lineRule="auto" w:line="276" w:after="200"/>
        <w:ind w:firstLine="576"/>
        <w:jc w:val="both"/>
      </w:pPr>
      <w:r>
        <w:rPr>
          <w:rFonts w:ascii="Times New Roman" w:hAnsi="Times New Roman" w:eastAsia="Times New Roman"/>
          <w:b w:val="0"/>
          <w:i w:val="0"/>
          <w:sz w:val="24"/>
        </w:rPr>
        <w:t>Chapter One established that Human Resource Management (HRM) remains fundamental to organisational performance, yet many organisations — particularly small and medium-sized enterprises (SMEs) in developing economies such as Ghana — continue to rely on manual, paper-driven recruitment processes that are slow, subjective and difficult to audit. It further noted that Artificial Intelligence (AI) has begun to reshape recruitment practice globally through automated resume screening, candidate ranking and predictive analytics, and proposed CoreRecruiter as a centralised, AI-integrated web platform for hiring, employee management and HR reporting in the Ghanaian context. This chapter interrogates that proposition against the existing body of theory, empirical research and commercial practice.</w:t>
      </w:r>
    </w:p>
    <w:p>
      <w:pPr>
        <w:spacing w:lineRule="auto" w:line="276" w:after="200"/>
        <w:ind w:firstLine="576"/>
        <w:jc w:val="both"/>
      </w:pPr>
      <w:r>
        <w:rPr>
          <w:rFonts w:ascii="Times New Roman" w:hAnsi="Times New Roman" w:eastAsia="Times New Roman"/>
          <w:b w:val="0"/>
          <w:i w:val="0"/>
          <w:sz w:val="24"/>
        </w:rPr>
        <w:t>The chapter is organised in six substantive parts. Section 2.2 lays out the theoretical and conceptual foundations that underpin electronic recruitment and AI-assisted hiring — Human Resource Management theory, the Technology Acceptance Model (TAM), Person–Job and Person–Organisation Fit theory, and the technical concepts (natural language processing, large language model agents, scoring and ranking) that make automated screening possible. Section 2.3 critically reviews empirical studies and commercial systems relevant to e-recruitment, Human Resource Information Systems (HRIS) and AI-driven hiring, with particular attention to evidence from Ghana and comparable Sub-Saharan African economies. Section 2.4 synthesises this material into a comparative analysis of existing platforms. Section 2.5 distils the gaps that this literature exposes. Section 2.6 reviews the specific technologies adopted to close those gaps in CoreRecruiter, and Section 2.7 draws the chapter together into a conceptual framework that motivates the system design presented in Chapter Three. Throughout, the review avoids treating cited sources as a mere catalogue; instead, studies are placed in dialogue with one another so that points of agreement, contradiction, and unresolved tension can inform the design decisions taken later in this study.</w:t>
      </w:r>
    </w:p>
    <w:p>
      <w:pPr>
        <w:spacing w:before="360" w:after="200" w:lineRule="auto" w:line="276"/>
      </w:pPr>
      <w:r>
        <w:rPr>
          <w:rFonts w:ascii="Times New Roman" w:hAnsi="Times New Roman" w:eastAsia="Times New Roman"/>
          <w:b/>
          <w:i w:val="0"/>
          <w:sz w:val="26"/>
        </w:rPr>
        <w:t>2.2 Theoretical and Conceptual Framework</w:t>
      </w:r>
    </w:p>
    <w:p>
      <w:pPr>
        <w:spacing w:before="240" w:after="160" w:lineRule="auto" w:line="276"/>
      </w:pPr>
      <w:r>
        <w:rPr>
          <w:rFonts w:ascii="Times New Roman" w:hAnsi="Times New Roman" w:eastAsia="Times New Roman"/>
          <w:b/>
          <w:i w:val="0"/>
          <w:sz w:val="24"/>
        </w:rPr>
        <w:t>2.2.1 Human Resource Management and the Recruitment Function</w:t>
      </w:r>
    </w:p>
    <w:p>
      <w:pPr>
        <w:spacing w:lineRule="auto" w:line="276" w:after="200"/>
        <w:ind w:firstLine="576"/>
        <w:jc w:val="both"/>
      </w:pPr>
      <w:r>
        <w:rPr>
          <w:rFonts w:ascii="Times New Roman" w:hAnsi="Times New Roman" w:eastAsia="Times New Roman"/>
          <w:b w:val="0"/>
          <w:i w:val="0"/>
          <w:sz w:val="24"/>
        </w:rPr>
        <w:t>Human Resource Management is conventionally defined as the strategic and coherent approach to the management of an organisation's workforce, encompassing recruitment, selection, development, performance management, compensation and separation. Within this function, recruitment and selection occupy a privileged position because hiring errors propagate downstream costs in training, turnover and lost productivity that are far more expensive to correct than to prevent. In the Ghanaian and wider West African context, empirical work on recruitment practice has repeatedly found that firms rely heavily on informal channels — newspaper advertisements, employee referrals, campus recruitment and unsolicited applications — with comparatively limited adoption of internet-based or data-driven recruitment methods, even as such channels expand globally. This pattern is not confined to Ghana: reviews of recruitment and selection practice in Nigerian institutions describe processes as “clouded in subjectivity” and not grounded in objective, criterion-referenced assessment, while broader continental assessments attribute persistent inefficiency to a combination of weak HR policy infrastructure, skills shortages among HR practitioners, and slow uptake of HR technology. Read together, these studies support the premise in Chapter One that manual recruitment inefficiency is not an isolated or anecdotal problem in the Ghanaian labour market but a documented, cross-country feature of HRM practice in the sub-region — which is precisely the condition CoreRecruiter is designed to address.</w:t>
      </w:r>
    </w:p>
    <w:p>
      <w:pPr>
        <w:spacing w:before="240" w:after="160" w:lineRule="auto" w:line="276"/>
      </w:pPr>
      <w:r>
        <w:rPr>
          <w:rFonts w:ascii="Times New Roman" w:hAnsi="Times New Roman" w:eastAsia="Times New Roman"/>
          <w:b/>
          <w:i w:val="0"/>
          <w:sz w:val="24"/>
        </w:rPr>
        <w:t>2.2.2 Electronic Human Resource Management (e-HRM)</w:t>
      </w:r>
    </w:p>
    <w:p>
      <w:pPr>
        <w:spacing w:lineRule="auto" w:line="276" w:after="200"/>
        <w:ind w:firstLine="576"/>
        <w:jc w:val="both"/>
      </w:pPr>
      <w:r>
        <w:rPr>
          <w:rFonts w:ascii="Times New Roman" w:hAnsi="Times New Roman" w:eastAsia="Times New Roman"/>
          <w:b w:val="0"/>
          <w:i w:val="0"/>
          <w:sz w:val="24"/>
        </w:rPr>
        <w:t>Electronic HRM (e-HRM) refers to the use of web-based and networked technologies to support HR policy implementation, ranging from simple digitisation of paper processes (“operational e-HRM”) to systems that actively reshape how HR decisions are made (“relational” and “transformational” e-HRM). A widely cited four-decade review of e-HRM research observes that although the field has matured considerably, much of the literature still treats e-HRM adoption and its organisational consequences as separate research streams, with comparatively few studies tracing a specific system from adoption through to measurable HR outcomes. This is a methodological gap this study takes seriously: rather than treating “adoption” and “impact” as disconnected questions, CoreRecruiter is conceived and will be evaluated as a single socio-technical intervention whose usability, adoption and downstream effect on hiring quality are interdependent. Applied specifically to recruitment, e-HRM in the form of Applicant Tracking Systems (ATS) has been shown to improve efficiency, transparency and decision quality by centralising candidate data, standardising evaluation templates and enabling analytics-supported shortlisting, though the same body of work cautions that these gains are conditional on adequate ICT skills among HR users, stable infrastructure and sound data-governance practice — conditions that cannot be assumed in many Ghanaian organisational settings.</w:t>
      </w:r>
    </w:p>
    <w:p>
      <w:pPr>
        <w:spacing w:before="240" w:after="160" w:lineRule="auto" w:line="276"/>
      </w:pPr>
      <w:r>
        <w:rPr>
          <w:rFonts w:ascii="Times New Roman" w:hAnsi="Times New Roman" w:eastAsia="Times New Roman"/>
          <w:b/>
          <w:i w:val="0"/>
          <w:sz w:val="24"/>
        </w:rPr>
        <w:t>2.2.3 Technology Acceptance and the Human Factor in HR Systems</w:t>
      </w:r>
    </w:p>
    <w:p>
      <w:pPr>
        <w:spacing w:lineRule="auto" w:line="276" w:after="200"/>
        <w:ind w:firstLine="576"/>
        <w:jc w:val="both"/>
      </w:pPr>
      <w:r>
        <w:rPr>
          <w:rFonts w:ascii="Times New Roman" w:hAnsi="Times New Roman" w:eastAsia="Times New Roman"/>
          <w:b w:val="0"/>
          <w:i w:val="0"/>
          <w:sz w:val="24"/>
        </w:rPr>
        <w:t>The Technology Acceptance Model (TAM) explains user adoption of information systems as a function of two beliefs: perceived usefulness and perceived ease of use, both of which shape attitude toward use and, in turn, actual system usage. Because TAM was formulated for general information systems, subsequent HR-specific research has extended it to explain e-HRM acceptance in particular, finding that perceived usefulness, ease of use, user satisfaction and organisational context (notably whether the adopting firm is IT-intensive or not) jointly determine whether HR staff actually use an e-HRM system as intended rather than reverting to informal workarounds. This has direct design implications for CoreRecruiter: studies of HRIS adoption in Sub-Saharan African SMEs consistently identify limited digital literacy among HR staff, and specifically among older or less formally trained employees, as one of the strongest barriers to sustained use, alongside the high cost and technical complexity of enterprise-grade systems. A platform that is technically capable but difficult to learn is therefore unlikely to achieve the adoption on which any efficiency gain depends — which is why usability for HR staff with limited prior exposure to HR software is treated in this study as a design requirement rather than a secondary concern.</w:t>
      </w:r>
    </w:p>
    <w:p>
      <w:pPr>
        <w:spacing w:before="240" w:after="160" w:lineRule="auto" w:line="276"/>
      </w:pPr>
      <w:r>
        <w:rPr>
          <w:rFonts w:ascii="Times New Roman" w:hAnsi="Times New Roman" w:eastAsia="Times New Roman"/>
          <w:b/>
          <w:i w:val="0"/>
          <w:sz w:val="24"/>
        </w:rPr>
        <w:t>2.2.4 Person–Job Fit and Person–Organisation Fit</w:t>
      </w:r>
    </w:p>
    <w:p>
      <w:pPr>
        <w:spacing w:lineRule="auto" w:line="276" w:after="200"/>
        <w:ind w:firstLine="576"/>
        <w:jc w:val="both"/>
      </w:pPr>
      <w:r>
        <w:rPr>
          <w:rFonts w:ascii="Times New Roman" w:hAnsi="Times New Roman" w:eastAsia="Times New Roman"/>
          <w:b w:val="0"/>
          <w:i w:val="0"/>
          <w:sz w:val="24"/>
        </w:rPr>
        <w:t>Selection theory distinguishes Person–Job (P–J) fit — the match between an individual's knowledge, skills and abilities and the requirements of a specific role — from Person–Organisation (P–O) fit, the broader congruence between an individual's values and goals and those of the organisation. The foundational integrative review of P–O fit and the subsequent meta-analysis of fit's consequences across levels (job, organisation, group and supervisor) both find that better-fitting hires report higher job satisfaction, stronger organisational commitment and lower turnover intention, which is precisely the outcome chain that justifies investing in more rigorous screening at the point of hire rather than treating selection as a purely administrative filter. In automated recruitment systems, P–J fit is typically operationalised at the initial screening stage through structured matching of skills, experience and qualifications against stated job requirements, while P–O fit — being harder to infer from a résumé — is reserved for later, human-mediated stages such as interviews. This distinction motivates a deliberate scope decision in CoreRecruiter's AI screening design: the automated component is scoped to P–J fit (skills, experience, education, and role-specific “nice-to-have” criteria), while P–O fit judgements are explicitly left to human reviewers at interview stage, rather than allowing an algorithm to make a determination the literature suggests it is poorly positioned to make.</w:t>
      </w:r>
    </w:p>
    <w:p>
      <w:pPr>
        <w:spacing w:before="240" w:after="160" w:lineRule="auto" w:line="276"/>
      </w:pPr>
      <w:r>
        <w:rPr>
          <w:rFonts w:ascii="Times New Roman" w:hAnsi="Times New Roman" w:eastAsia="Times New Roman"/>
          <w:b/>
          <w:i w:val="0"/>
          <w:sz w:val="24"/>
        </w:rPr>
        <w:t>2.2.5 Artificial Intelligence in Recruitment: Core Technical Concepts</w:t>
      </w:r>
    </w:p>
    <w:p>
      <w:pPr>
        <w:spacing w:lineRule="auto" w:line="276" w:after="200"/>
        <w:ind w:firstLine="576"/>
        <w:jc w:val="both"/>
      </w:pPr>
      <w:r>
        <w:rPr>
          <w:rFonts w:ascii="Times New Roman" w:hAnsi="Times New Roman" w:eastAsia="Times New Roman"/>
          <w:b w:val="0"/>
          <w:i w:val="0"/>
          <w:sz w:val="24"/>
        </w:rPr>
        <w:t>Three technical concepts recur across the AI-recruitment literature and are directly relevant to this study. First, automated résumé screening historically relied on keyword and Boolean matching, but recent systems increasingly use natural language processing (NLP) and transformer-based language models to perform semantic matching — recognising that “led a team of five engineers” and “managed a small engineering team” express comparable experience even though they share few keywords. Second, Large Language Model (LLM) agents extend this further by combining a language model with the ability to call external tools or functions — for example, retrieving a job's structured requirements or a candidate's verified profile data — and reasoning over the results before producing a final judgement, rather than pattern-matching on raw text alone. A 2024 framework applying LLM agents to résumé screening reports screening roughly eleven times faster than manual review, with the fine-tuned classification component achieving an F1 score of 87.73% and outperforming a raw GPT-3.5 baseline, evidence that structuring an LLM's task with explicit sub-steps (summarise, grade, decide) measurably improves both speed and accuracy over an undirected prompt. Third, candidate ranking converts individual screening scores into an ordered shortlist, which is only as trustworthy as the scoring rubric beneath it — a point developed further in Section 2.3.6. These three concepts — semantic matching, tool-augmented agent reasoning, and rubric-based ranking — together describe the technical approach that CoreRecruiter's AI screening module adopts, and are revisited in Section 2.6 with specific reference to its implementation.</w:t>
      </w:r>
    </w:p>
    <w:p>
      <w:pPr>
        <w:spacing w:before="240" w:after="160" w:lineRule="auto" w:line="276"/>
      </w:pPr>
      <w:r>
        <w:rPr>
          <w:rFonts w:ascii="Times New Roman" w:hAnsi="Times New Roman" w:eastAsia="Times New Roman"/>
          <w:b/>
          <w:i w:val="0"/>
          <w:sz w:val="24"/>
        </w:rPr>
        <w:t>2.2.6 Legal and Ethical Considerations: Data Protection</w:t>
      </w:r>
    </w:p>
    <w:p>
      <w:pPr>
        <w:spacing w:lineRule="auto" w:line="276" w:after="200"/>
        <w:ind w:firstLine="576"/>
        <w:jc w:val="both"/>
      </w:pPr>
      <w:r>
        <w:rPr>
          <w:rFonts w:ascii="Times New Roman" w:hAnsi="Times New Roman" w:eastAsia="Times New Roman"/>
          <w:b w:val="0"/>
          <w:i w:val="0"/>
          <w:sz w:val="24"/>
        </w:rPr>
        <w:t>Because a system such as CoreRecruiter necessarily processes sensitive personal data — candidate résumés, national identification and salary expectations at the recruitment stage, and payroll, attendance and leave records once an employee is hired — its design cannot be treated as a purely technical exercise separate from Ghana's statutory data protection regime. The Data Protection Act, 2012 (Act 843) establishes the Data Protection Commission as the independent body responsible for regulating the collection, processing, storage and disclosure of personal data by public and private organisations in Ghana, requires data controllers to register before processing personal data, and codifies eight data protection principles — including purpose limitation, data minimisation, and the data subject's right to be informed, to access, and to correct their own data — enforceable through both civil and, in serious cases, criminal sanction. This has two direct implications for the present study. First, it constrains what CoreRecruiter's AI screening component may legitimately do with candidate data: the Act's purpose-limitation principle means profile and CV data collected for an application to one role cannot be silently repurposed for unrelated automated decision-making without a lawful basis, which is one reason the screening design in Section 2.6.2 deliberately restricts the model to data explicitly tied to the specific job and application being evaluated rather than a candidate's entire historical footprint on the platform. Second, it means that an explainable, decomposed AI score — the same design response motivated on fairness grounds in Section 2.3.6 — also serves the Act's access and correction rights more directly than an opaque aggregate score would, since a candidate exercising a right to understand a decision made about their data is better served by a system that can state which criteria drove the outcome. Data protection compliance is therefore treated in this study not as an external legal formality layered on afterward, but as a further, independent justification for the transparency requirement that recurs throughout this chapter.</w:t>
      </w:r>
    </w:p>
    <w:p>
      <w:pPr>
        <w:spacing w:before="360" w:after="200" w:lineRule="auto" w:line="276"/>
      </w:pPr>
      <w:r>
        <w:rPr>
          <w:rFonts w:ascii="Times New Roman" w:hAnsi="Times New Roman" w:eastAsia="Times New Roman"/>
          <w:b/>
          <w:i w:val="0"/>
          <w:sz w:val="26"/>
        </w:rPr>
        <w:t>2.3 Review of Related Systems and Empirical Studies</w:t>
      </w:r>
    </w:p>
    <w:p>
      <w:pPr>
        <w:spacing w:before="240" w:after="160" w:lineRule="auto" w:line="276"/>
      </w:pPr>
      <w:r>
        <w:rPr>
          <w:rFonts w:ascii="Times New Roman" w:hAnsi="Times New Roman" w:eastAsia="Times New Roman"/>
          <w:b/>
          <w:i w:val="0"/>
          <w:sz w:val="24"/>
        </w:rPr>
        <w:t>2.3.1 Manual and Semi-Formal Recruitment Practice in Ghana and the Sub-Region</w:t>
      </w:r>
    </w:p>
    <w:p>
      <w:pPr>
        <w:spacing w:lineRule="auto" w:line="276" w:after="200"/>
        <w:ind w:firstLine="576"/>
        <w:jc w:val="both"/>
      </w:pPr>
      <w:r>
        <w:rPr>
          <w:rFonts w:ascii="Times New Roman" w:hAnsi="Times New Roman" w:eastAsia="Times New Roman"/>
          <w:b w:val="0"/>
          <w:i w:val="0"/>
          <w:sz w:val="24"/>
        </w:rPr>
        <w:t>A multi-case study of five firms in Accra, Kumasi and Tema examined recruitment and selection practice through in-depth interviews and document analysis, and found substantial convergence across firms in reliance on newspaper advertisements, campus recruitment, employee referrals and unsolicited applications, with only limited and uneven adoption of internet-based or social-media recruitment, and selection techniques such as psychometric testing and assessment centres applied inconsistently depending on role seniority and industry. This is consistent with continental evidence that traditional recruitment channels persist in many African organisations despite the global shift toward digital hiring, and it is corroborated by an East African study of e-HRM's effect on recruitment and selection effectiveness, which found that where digital tools are used, they measurably improve decision quality through structured, competency-based assessment, centralised candidate databases and consistent scoring templates — but that adoption remains constrained by limited ICT skills, infrastructure instability and data-governance weaknesses among HR users. The pattern that emerges across this literature is not that digital recruitment tools are unwanted or ineffective in the Ghanaian and East African context, but that the systems available to date have not been designed around the constraints — cost, connectivity, and HR staff digital literacy — that actually shape adoption in this setting.</w:t>
      </w:r>
    </w:p>
    <w:p>
      <w:pPr>
        <w:spacing w:before="240" w:after="160" w:lineRule="auto" w:line="276"/>
      </w:pPr>
      <w:r>
        <w:rPr>
          <w:rFonts w:ascii="Times New Roman" w:hAnsi="Times New Roman" w:eastAsia="Times New Roman"/>
          <w:b/>
          <w:i w:val="0"/>
          <w:sz w:val="24"/>
        </w:rPr>
        <w:t>2.3.2 Commercial Applicant Tracking Systems and HRIS Platforms</w:t>
      </w:r>
    </w:p>
    <w:p>
      <w:pPr>
        <w:spacing w:lineRule="auto" w:line="276" w:after="200"/>
        <w:ind w:firstLine="576"/>
        <w:jc w:val="both"/>
      </w:pPr>
      <w:r>
        <w:rPr>
          <w:rFonts w:ascii="Times New Roman" w:hAnsi="Times New Roman" w:eastAsia="Times New Roman"/>
          <w:b w:val="0"/>
          <w:i w:val="0"/>
          <w:sz w:val="24"/>
        </w:rPr>
        <w:t>Globally, the ATS and HRIS market is dominated by platforms such as Workday, Greenhouse, Lever, SmartRecruiters, BambooHR and Zoho Recruit, each occupying a distinct position on complexity and cost. Workday and Greenhouse target enterprise clients requiring deep integration with broader human capital management (HCM) suites and role-based governance, with implementation timelines commonly cited at three to six months; SmartRecruiters and Lever sit in a mid-market tier with extensive third-party integration marketplaces (over 300 integrations each); and BambooHR and Zoho Recruit target smaller organisations, trading deep customisability for faster time-to-value, though reviewers note that Zoho Recruit's interface complexity and limited customisation, and BambooHR's comparatively light workflow flexibility, become constraining once an organisation's hiring process diverges from the vendor's assumed template. None of these platforms was designed with the Ghanaian or wider West African SME in mind: their pricing models assume dollar- or pound-denominated enterprise budgets, their AI features are optimised for high-volume, English-language, Western-labour-market résumés, and — critically for this study — they are predominantly point solutions for the hiring pipeline, requiring separate integration with a distinct HRIS or payroll system to manage the employee once hired. A regional counter-example, SeamlessHR, has emerged specifically to serve Ghana, Nigeria and Kenya with a combined HR and ATS suite, which is itself evidence that the African market has recognised demand for the kind of integrated, regionally grounded platform CoreRecruiter proposes, though as a proprietary commercial product its internal screening methodology and evidentiary basis are not published for independent academic scrutiny — a transparency gap this study addresses directly by documenting CoreRecruiter's scoring rubric in full (Section 2.6).</w:t>
      </w:r>
    </w:p>
    <w:p>
      <w:pPr>
        <w:spacing w:before="240" w:after="160" w:lineRule="auto" w:line="276"/>
      </w:pPr>
      <w:r>
        <w:rPr>
          <w:rFonts w:ascii="Times New Roman" w:hAnsi="Times New Roman" w:eastAsia="Times New Roman"/>
          <w:b/>
          <w:i w:val="0"/>
          <w:sz w:val="24"/>
        </w:rPr>
        <w:t>2.3.3 e-HRM and HRIS Adoption in Sub-Saharan Africa</w:t>
      </w:r>
    </w:p>
    <w:p>
      <w:pPr>
        <w:spacing w:lineRule="auto" w:line="276" w:after="200"/>
        <w:ind w:firstLine="576"/>
        <w:jc w:val="both"/>
      </w:pPr>
      <w:r>
        <w:rPr>
          <w:rFonts w:ascii="Times New Roman" w:hAnsi="Times New Roman" w:eastAsia="Times New Roman"/>
          <w:b w:val="0"/>
          <w:i w:val="0"/>
          <w:sz w:val="24"/>
        </w:rPr>
        <w:t>A stream of empirical work has examined why HRIS and e-HRM adoption in African organisations lags behind global averages despite documented efficiency benefits. A study of HRIS adoption among SMEs in Cameroon, using the Unified Theory of Acceptance and Use of Technology (UTAUT), found that performance expectancy and internal social influence — essentially, whether colleagues and supervisors are seen to endorse the system — were the strongest predictors of adoption intention, with age and education level moderating the relationship between intention and actual use. An empirical study of e-HRM implementation in public-sector organisations in an emerging economy similarly found that organisational readiness, top-management support and perceived ease of use jointly determined implementation success, and explicitly flagged infrastructural instability and limited technical skill among public-sector HR staff as recurring obstacles. A broader review of HRIS in developing countries situates these single-country findings within a wider pattern: cost of acquisition and maintenance, weak ICT infrastructure, and workforce resistance — particularly from older or less formally educated staff who perceive the system as incomprehensible, and paradoxically from more highly educated staff whose expectations the system fails to meet — are the most frequently cited barriers across the literature. Taken together, these studies converge on a consistent explanation for low HRIS uptake in the region that is rarely, if ever, a rejection of digitalisation itself, but rather a mismatch between the cost, complexity and support model of available systems and the operating conditions of the organisations expected to adopt them. This is the specific adoption problem CoreRecruiter is positioned to solve, rather than a generic claim that “AI improves hiring.”</w:t>
      </w:r>
    </w:p>
    <w:p>
      <w:pPr>
        <w:spacing w:before="240" w:after="160" w:lineRule="auto" w:line="276"/>
      </w:pPr>
      <w:r>
        <w:rPr>
          <w:rFonts w:ascii="Times New Roman" w:hAnsi="Times New Roman" w:eastAsia="Times New Roman"/>
          <w:b/>
          <w:i w:val="0"/>
          <w:sz w:val="24"/>
        </w:rPr>
        <w:t>2.3.4 AI-Driven Résumé Screening and Candidate Ranking</w:t>
      </w:r>
    </w:p>
    <w:p>
      <w:pPr>
        <w:spacing w:lineRule="auto" w:line="276" w:after="200"/>
        <w:ind w:firstLine="576"/>
        <w:jc w:val="both"/>
      </w:pPr>
      <w:r>
        <w:rPr>
          <w:rFonts w:ascii="Times New Roman" w:hAnsi="Times New Roman" w:eastAsia="Times New Roman"/>
          <w:b w:val="0"/>
          <w:i w:val="0"/>
          <w:sz w:val="24"/>
        </w:rPr>
        <w:t>Beyond the LLM-agent framework discussed in Section 2.2.5, a systematic review of AI techniques for addressing algorithmic bias in hiring surveyed both the promise and the documented failure modes of automated screening, concluding that natural-language-processing techniques such as vector-space debiasing and data augmentation are among the more effective mitigation strategies currently available, but that no single technique eliminates bias outright — mitigation must be treated as an ongoing design discipline rather than a one-time fix. Industry-facing evidence, while methodologically less rigorous than peer-reviewed research and interpreted cautiously here, reports efficiency gains in the same range — time-to-hire reductions in the order of 70–80% and cost reductions in a comparable range — when AI screening is introduced without a corresponding decline in candidate quality, which at minimum indicates the direction of the claimed benefit is consistent with the peer-reviewed literature even if the precise magnitude should be treated with caution outside controlled research settings. What is comparatively under-examined in this literature, however, is a screening rubric that is fully transparent to the hiring organisation at the point of decision — most published systems report an aggregate match score without decomposing it into the criteria a human recruiter could independently audit, which is precisely the gap Section 2.3.6 and Section 2.6 address.</w:t>
      </w:r>
    </w:p>
    <w:p>
      <w:pPr>
        <w:spacing w:before="240" w:after="160" w:lineRule="auto" w:line="276"/>
      </w:pPr>
      <w:r>
        <w:rPr>
          <w:rFonts w:ascii="Times New Roman" w:hAnsi="Times New Roman" w:eastAsia="Times New Roman"/>
          <w:b/>
          <w:i w:val="0"/>
          <w:sz w:val="24"/>
        </w:rPr>
        <w:t>2.3.5 Predictive Analytics and People Analytics in HR</w:t>
      </w:r>
    </w:p>
    <w:p>
      <w:pPr>
        <w:spacing w:lineRule="auto" w:line="276" w:after="200"/>
        <w:ind w:firstLine="576"/>
        <w:jc w:val="both"/>
      </w:pPr>
      <w:r>
        <w:rPr>
          <w:rFonts w:ascii="Times New Roman" w:hAnsi="Times New Roman" w:eastAsia="Times New Roman"/>
          <w:b w:val="0"/>
          <w:i w:val="0"/>
          <w:sz w:val="24"/>
        </w:rPr>
        <w:t>A related but distinct strand of literature examines HR analytics applied after hiring — to retention, performance and workforce planning — rather than at the point of selection. Recent work evaluating a predictive analytics platform's contribution to talent retention finds that models trained on historical HR data can meaningfully forecast attrition risk and inform proactive retention interventions, reinforcing the broader argument that HR decision-making benefits from being grounded in continuously collected, structured data rather than periodic, manually compiled reports. This has a direct architectural implication for CoreRecruiter: because the platform is designed to capture applicant, employee, attendance, leave and payroll data within a single system rather than across disconnected tools, it is structurally positioned to extend from AI-assisted screening at the point of hire toward this kind of predictive, retention-oriented analytics later in the employee lifecycle — a capability that stand-alone ATS products, by design, cannot offer without external data integration.</w:t>
      </w:r>
    </w:p>
    <w:p>
      <w:pPr>
        <w:spacing w:before="240" w:after="160" w:lineRule="auto" w:line="276"/>
      </w:pPr>
      <w:r>
        <w:rPr>
          <w:rFonts w:ascii="Times New Roman" w:hAnsi="Times New Roman" w:eastAsia="Times New Roman"/>
          <w:b/>
          <w:i w:val="0"/>
          <w:sz w:val="24"/>
        </w:rPr>
        <w:t>2.3.6 Algorithmic Bias, Fairness and Trust in AI Recruitment Tools</w:t>
      </w:r>
    </w:p>
    <w:p>
      <w:pPr>
        <w:spacing w:lineRule="auto" w:line="276" w:after="200"/>
        <w:ind w:firstLine="576"/>
        <w:jc w:val="both"/>
      </w:pPr>
      <w:r>
        <w:rPr>
          <w:rFonts w:ascii="Times New Roman" w:hAnsi="Times New Roman" w:eastAsia="Times New Roman"/>
          <w:b w:val="0"/>
          <w:i w:val="0"/>
          <w:sz w:val="24"/>
        </w:rPr>
        <w:t>The most consequential critique of AI-driven hiring in the current literature concerns bias and opacity, and it must be engaged directly rather than treated as a caveat. Documented cases — most prominently Amazon's discontinued internal recruiting tool, which was found to penalise résumés associated with women — established early that models trained on historical hiring data reproduce the demographic skew of that history. More recent, methodologically rigorous work has sharpened this concern considerably: a 2025 audit of eight major AI hiring platforms found complex, intersectional racial and gender biases, with some models penalising candidates for the mere presence of demographic signals in a résumé, and — more troublingly for systems that appear unbiased on aggregate metrics — found that some models achieving superficially neutral outcomes did so not because they were fair, but because they were incapable of substantive evaluation and fell back on shallow keyword matching, a phenomenon the authors term the “illusion of neutrality.” This finding is significant for the present study because it reframes the design problem: the objective is not merely to produce a score that looks unbiased in aggregate, but to produce a score that is demonstrably grounded in job-relevant evidence and can be inspected, criterion by criterion, by a human reviewer. Complementing this, applicant-perception research surveying over 1,300 participants across seven studies found that while overall procedural fairness perceptions of algorithmic recruitment tools are mixed, perceptions specific to behavioural control and social presence are consistently negative — applicants feel they cannot influence an algorithmic outcome the way they could a human one, and perceive a loss of interpersonal warmth — which suggests that even a technically fair system can be experienced as illegitimate if its reasoning is not made visible to the people it evaluates. A 2025 strategic-HRM analysis further argues that managing algorithmic bias should be treated as an organisational capability requiring governance, monitoring and human oversight, not a property that can be engineered into a model once and left unmonitored thereafter. Read together, this literature yields three design obligations that recur throughout the rest of this chapter: automated scores must be decomposed and explainable rather than a single opaque number; scoring must be grounded in retrievable, job-specific evidence rather than free-text pattern matching alone; and a human decision-maker must remain in the loop at the point where a hiring outcome is finalised.</w:t>
      </w:r>
    </w:p>
    <w:p>
      <w:pPr>
        <w:spacing w:before="360" w:after="200" w:lineRule="auto" w:line="276"/>
      </w:pPr>
      <w:r>
        <w:rPr>
          <w:rFonts w:ascii="Times New Roman" w:hAnsi="Times New Roman" w:eastAsia="Times New Roman"/>
          <w:b/>
          <w:i w:val="0"/>
          <w:sz w:val="26"/>
        </w:rPr>
        <w:t>2.4 Critical Synthesis: Comparative Analysis of Existing Systems</w:t>
      </w:r>
    </w:p>
    <w:p>
      <w:pPr>
        <w:spacing w:lineRule="auto" w:line="276" w:after="200"/>
        <w:ind w:firstLine="576"/>
        <w:jc w:val="both"/>
      </w:pPr>
      <w:r>
        <w:rPr>
          <w:rFonts w:ascii="Times New Roman" w:hAnsi="Times New Roman" w:eastAsia="Times New Roman"/>
          <w:b w:val="0"/>
          <w:i w:val="0"/>
          <w:sz w:val="24"/>
        </w:rPr>
        <w:t>Table 2.1 synthesises the systems and evidence reviewed above along the dimensions that this study's problem statement identifies as decisive for a Ghanaian HR context: whether hiring and post-hire employee management are integrated in one system or require separate tools; whether AI screening is offered at all, and if so, whether its reasoning is exposed to the HR user or returned as an opaque score; and whether the platform's cost and implementation model is realistic for a resource-constrained SME rather than assuming an enterprise budget and dedicated IT department.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sz w:val="20"/>
              </w:rPr>
              <w:t>System / Study</w:t>
            </w:r>
          </w:p>
        </w:tc>
        <w:tc>
          <w:tcPr>
            <w:tcW w:type="dxa" w:w="2160"/>
          </w:tcPr>
          <w:p>
            <w:r/>
            <w:r>
              <w:rPr>
                <w:rFonts w:ascii="Times New Roman" w:hAnsi="Times New Roman" w:eastAsia="Times New Roman"/>
                <w:b/>
                <w:i w:val="0"/>
                <w:sz w:val="20"/>
              </w:rPr>
              <w:t>ATS + HRIS integration</w:t>
            </w:r>
          </w:p>
        </w:tc>
        <w:tc>
          <w:tcPr>
            <w:tcW w:type="dxa" w:w="2160"/>
          </w:tcPr>
          <w:p>
            <w:r/>
            <w:r>
              <w:rPr>
                <w:rFonts w:ascii="Times New Roman" w:hAnsi="Times New Roman" w:eastAsia="Times New Roman"/>
                <w:b/>
                <w:i w:val="0"/>
                <w:sz w:val="20"/>
              </w:rPr>
              <w:t>AI screening transparency</w:t>
            </w:r>
          </w:p>
        </w:tc>
        <w:tc>
          <w:tcPr>
            <w:tcW w:type="dxa" w:w="2160"/>
          </w:tcPr>
          <w:p>
            <w:r/>
            <w:r>
              <w:rPr>
                <w:rFonts w:ascii="Times New Roman" w:hAnsi="Times New Roman" w:eastAsia="Times New Roman"/>
                <w:b/>
                <w:i w:val="0"/>
                <w:sz w:val="20"/>
              </w:rPr>
              <w:t>Fit for Ghanaian SME context</w:t>
            </w:r>
          </w:p>
        </w:tc>
      </w:tr>
      <w:tr>
        <w:tc>
          <w:tcPr>
            <w:tcW w:type="dxa" w:w="2160"/>
          </w:tcPr>
          <w:p>
            <w:r/>
            <w:r>
              <w:rPr>
                <w:rFonts w:ascii="Times New Roman" w:hAnsi="Times New Roman" w:eastAsia="Times New Roman"/>
                <w:b w:val="0"/>
                <w:i w:val="0"/>
                <w:sz w:val="20"/>
              </w:rPr>
              <w:t>Workday / Greenhouse</w:t>
            </w:r>
          </w:p>
        </w:tc>
        <w:tc>
          <w:tcPr>
            <w:tcW w:type="dxa" w:w="2160"/>
          </w:tcPr>
          <w:p>
            <w:r/>
            <w:r>
              <w:rPr>
                <w:rFonts w:ascii="Times New Roman" w:hAnsi="Times New Roman" w:eastAsia="Times New Roman"/>
                <w:b w:val="0"/>
                <w:i w:val="0"/>
                <w:sz w:val="20"/>
              </w:rPr>
              <w:t>HCM-integrated, enterprise scope</w:t>
            </w:r>
          </w:p>
        </w:tc>
        <w:tc>
          <w:tcPr>
            <w:tcW w:type="dxa" w:w="2160"/>
          </w:tcPr>
          <w:p>
            <w:r/>
            <w:r>
              <w:rPr>
                <w:rFonts w:ascii="Times New Roman" w:hAnsi="Times New Roman" w:eastAsia="Times New Roman"/>
                <w:b w:val="0"/>
                <w:i w:val="0"/>
                <w:sz w:val="20"/>
              </w:rPr>
              <w:t>Limited public detail on scoring logic</w:t>
            </w:r>
          </w:p>
        </w:tc>
        <w:tc>
          <w:tcPr>
            <w:tcW w:type="dxa" w:w="2160"/>
          </w:tcPr>
          <w:p>
            <w:r/>
            <w:r>
              <w:rPr>
                <w:rFonts w:ascii="Times New Roman" w:hAnsi="Times New Roman" w:eastAsia="Times New Roman"/>
                <w:b w:val="0"/>
                <w:i w:val="0"/>
                <w:sz w:val="20"/>
              </w:rPr>
              <w:t>Poor — enterprise pricing, 3–6 month implementation</w:t>
            </w:r>
          </w:p>
        </w:tc>
      </w:tr>
      <w:tr>
        <w:tc>
          <w:tcPr>
            <w:tcW w:type="dxa" w:w="2160"/>
          </w:tcPr>
          <w:p>
            <w:r/>
            <w:r>
              <w:rPr>
                <w:rFonts w:ascii="Times New Roman" w:hAnsi="Times New Roman" w:eastAsia="Times New Roman"/>
                <w:b w:val="0"/>
                <w:i w:val="0"/>
                <w:sz w:val="20"/>
              </w:rPr>
              <w:t>BambooHR / Zoho Recruit</w:t>
            </w:r>
          </w:p>
        </w:tc>
        <w:tc>
          <w:tcPr>
            <w:tcW w:type="dxa" w:w="2160"/>
          </w:tcPr>
          <w:p>
            <w:r/>
            <w:r>
              <w:rPr>
                <w:rFonts w:ascii="Times New Roman" w:hAnsi="Times New Roman" w:eastAsia="Times New Roman"/>
                <w:b w:val="0"/>
                <w:i w:val="0"/>
                <w:sz w:val="20"/>
              </w:rPr>
              <w:t>Partial (HR-record linked, limited ATS depth)</w:t>
            </w:r>
          </w:p>
        </w:tc>
        <w:tc>
          <w:tcPr>
            <w:tcW w:type="dxa" w:w="2160"/>
          </w:tcPr>
          <w:p>
            <w:r/>
            <w:r>
              <w:rPr>
                <w:rFonts w:ascii="Times New Roman" w:hAnsi="Times New Roman" w:eastAsia="Times New Roman"/>
                <w:b w:val="0"/>
                <w:i w:val="0"/>
                <w:sz w:val="20"/>
              </w:rPr>
              <w:t>Minimal AI or opaque matching score</w:t>
            </w:r>
          </w:p>
        </w:tc>
        <w:tc>
          <w:tcPr>
            <w:tcW w:type="dxa" w:w="2160"/>
          </w:tcPr>
          <w:p>
            <w:r/>
            <w:r>
              <w:rPr>
                <w:rFonts w:ascii="Times New Roman" w:hAnsi="Times New Roman" w:eastAsia="Times New Roman"/>
                <w:b w:val="0"/>
                <w:i w:val="0"/>
                <w:sz w:val="20"/>
              </w:rPr>
              <w:t>Moderate — lower cost, but rigid workflows</w:t>
            </w:r>
          </w:p>
        </w:tc>
      </w:tr>
      <w:tr>
        <w:tc>
          <w:tcPr>
            <w:tcW w:type="dxa" w:w="2160"/>
          </w:tcPr>
          <w:p>
            <w:r/>
            <w:r>
              <w:rPr>
                <w:rFonts w:ascii="Times New Roman" w:hAnsi="Times New Roman" w:eastAsia="Times New Roman"/>
                <w:b w:val="0"/>
                <w:i w:val="0"/>
                <w:sz w:val="20"/>
              </w:rPr>
              <w:t>SeamlessHR</w:t>
            </w:r>
          </w:p>
        </w:tc>
        <w:tc>
          <w:tcPr>
            <w:tcW w:type="dxa" w:w="2160"/>
          </w:tcPr>
          <w:p>
            <w:r/>
            <w:r>
              <w:rPr>
                <w:rFonts w:ascii="Times New Roman" w:hAnsi="Times New Roman" w:eastAsia="Times New Roman"/>
                <w:b w:val="0"/>
                <w:i w:val="0"/>
                <w:sz w:val="20"/>
              </w:rPr>
              <w:t>Combined HR + ATS suite</w:t>
            </w:r>
          </w:p>
        </w:tc>
        <w:tc>
          <w:tcPr>
            <w:tcW w:type="dxa" w:w="2160"/>
          </w:tcPr>
          <w:p>
            <w:r/>
            <w:r>
              <w:rPr>
                <w:rFonts w:ascii="Times New Roman" w:hAnsi="Times New Roman" w:eastAsia="Times New Roman"/>
                <w:b w:val="0"/>
                <w:i w:val="0"/>
                <w:sz w:val="20"/>
              </w:rPr>
              <w:t>Not published for academic scrutiny</w:t>
            </w:r>
          </w:p>
        </w:tc>
        <w:tc>
          <w:tcPr>
            <w:tcW w:type="dxa" w:w="2160"/>
          </w:tcPr>
          <w:p>
            <w:r/>
            <w:r>
              <w:rPr>
                <w:rFonts w:ascii="Times New Roman" w:hAnsi="Times New Roman" w:eastAsia="Times New Roman"/>
                <w:b w:val="0"/>
                <w:i w:val="0"/>
                <w:sz w:val="20"/>
              </w:rPr>
              <w:t>Good — built for the West African market</w:t>
            </w:r>
          </w:p>
        </w:tc>
      </w:tr>
      <w:tr>
        <w:tc>
          <w:tcPr>
            <w:tcW w:type="dxa" w:w="2160"/>
          </w:tcPr>
          <w:p>
            <w:r/>
            <w:r>
              <w:rPr>
                <w:rFonts w:ascii="Times New Roman" w:hAnsi="Times New Roman" w:eastAsia="Times New Roman"/>
                <w:b w:val="0"/>
                <w:i w:val="0"/>
                <w:sz w:val="20"/>
              </w:rPr>
              <w:t>LLM-agent screening research (Gan et al., 2024)</w:t>
            </w:r>
          </w:p>
        </w:tc>
        <w:tc>
          <w:tcPr>
            <w:tcW w:type="dxa" w:w="2160"/>
          </w:tcPr>
          <w:p>
            <w:r/>
            <w:r>
              <w:rPr>
                <w:rFonts w:ascii="Times New Roman" w:hAnsi="Times New Roman" w:eastAsia="Times New Roman"/>
                <w:b w:val="0"/>
                <w:i w:val="0"/>
                <w:sz w:val="20"/>
              </w:rPr>
              <w:t>Not a deployed product; research framework only</w:t>
            </w:r>
          </w:p>
        </w:tc>
        <w:tc>
          <w:tcPr>
            <w:tcW w:type="dxa" w:w="2160"/>
          </w:tcPr>
          <w:p>
            <w:r/>
            <w:r>
              <w:rPr>
                <w:rFonts w:ascii="Times New Roman" w:hAnsi="Times New Roman" w:eastAsia="Times New Roman"/>
                <w:b w:val="0"/>
                <w:i w:val="0"/>
                <w:sz w:val="20"/>
              </w:rPr>
              <w:t>Decomposed grading and reasoning steps demonstrated in research</w:t>
            </w:r>
          </w:p>
        </w:tc>
        <w:tc>
          <w:tcPr>
            <w:tcW w:type="dxa" w:w="2160"/>
          </w:tcPr>
          <w:p>
            <w:r/>
            <w:r>
              <w:rPr>
                <w:rFonts w:ascii="Times New Roman" w:hAnsi="Times New Roman" w:eastAsia="Times New Roman"/>
                <w:b w:val="0"/>
                <w:i w:val="0"/>
                <w:sz w:val="20"/>
              </w:rPr>
              <w:t>N/A — proof of concept, not localised or deployed</w:t>
            </w:r>
          </w:p>
        </w:tc>
      </w:tr>
      <w:tr>
        <w:tc>
          <w:tcPr>
            <w:tcW w:type="dxa" w:w="2160"/>
          </w:tcPr>
          <w:p>
            <w:r/>
            <w:r>
              <w:rPr>
                <w:rFonts w:ascii="Times New Roman" w:hAnsi="Times New Roman" w:eastAsia="Times New Roman"/>
                <w:b w:val="0"/>
                <w:i w:val="0"/>
                <w:sz w:val="20"/>
              </w:rPr>
              <w:t>CoreRecruiter (this study)</w:t>
            </w:r>
          </w:p>
        </w:tc>
        <w:tc>
          <w:tcPr>
            <w:tcW w:type="dxa" w:w="2160"/>
          </w:tcPr>
          <w:p>
            <w:r/>
            <w:r>
              <w:rPr>
                <w:rFonts w:ascii="Times New Roman" w:hAnsi="Times New Roman" w:eastAsia="Times New Roman"/>
                <w:b w:val="0"/>
                <w:i w:val="0"/>
                <w:sz w:val="20"/>
              </w:rPr>
              <w:t>Single platform: recruitment, onboarding, ESS, payroll, leave</w:t>
            </w:r>
          </w:p>
        </w:tc>
        <w:tc>
          <w:tcPr>
            <w:tcW w:type="dxa" w:w="2160"/>
          </w:tcPr>
          <w:p>
            <w:r/>
            <w:r>
              <w:rPr>
                <w:rFonts w:ascii="Times New Roman" w:hAnsi="Times New Roman" w:eastAsia="Times New Roman"/>
                <w:b w:val="0"/>
                <w:i w:val="0"/>
                <w:sz w:val="20"/>
              </w:rPr>
              <w:t>Rubric-decomposed score (skills/experience/education/nice-to-have) with strengths, gaps and salary flag</w:t>
            </w:r>
          </w:p>
        </w:tc>
        <w:tc>
          <w:tcPr>
            <w:tcW w:type="dxa" w:w="2160"/>
          </w:tcPr>
          <w:p>
            <w:r/>
            <w:r>
              <w:rPr>
                <w:rFonts w:ascii="Times New Roman" w:hAnsi="Times New Roman" w:eastAsia="Times New Roman"/>
                <w:b w:val="0"/>
                <w:i w:val="0"/>
                <w:sz w:val="20"/>
              </w:rPr>
              <w:t>Designed for Ghanaian SME cost and connectivity constraints</w:t>
            </w:r>
          </w:p>
        </w:tc>
      </w:tr>
    </w:tbl>
    <w:p>
      <w:pPr>
        <w:spacing w:after="120"/>
      </w:pPr>
    </w:p>
    <w:p>
      <w:pPr>
        <w:spacing w:lineRule="auto" w:line="276" w:after="200"/>
        <w:ind w:firstLine="576"/>
        <w:jc w:val="both"/>
      </w:pPr>
      <w:r>
        <w:rPr>
          <w:rFonts w:ascii="Times New Roman" w:hAnsi="Times New Roman" w:eastAsia="Times New Roman"/>
          <w:b w:val="0"/>
          <w:i w:val="0"/>
          <w:sz w:val="24"/>
        </w:rPr>
        <w:t>The comparison makes the positioning of this study explicit. Enterprise ATS platforms solve screening at a scale and cost that is inaccessible to the majority of Ghanaian organisations documented in the studies reviewed in Section 2.3.3; regional HR suites such as SeamlessHR demonstrate that an integrated, Africa-focused model is commercially viable but do not publish the screening methodology required for independent evaluation; and the academic LLM-agent literature demonstrates the technical feasibility of transparent, decomposed AI screening but has not, to this study's knowledge, been deployed as part of an integrated, regionally grounded HR platform. CoreRecruiter is positioned at the intersection of these three gaps rather than as an incremental improvement on any one of them.</w:t>
      </w:r>
    </w:p>
    <w:p>
      <w:pPr>
        <w:spacing w:before="360" w:after="200" w:lineRule="auto" w:line="276"/>
      </w:pPr>
      <w:r>
        <w:rPr>
          <w:rFonts w:ascii="Times New Roman" w:hAnsi="Times New Roman" w:eastAsia="Times New Roman"/>
          <w:b/>
          <w:i w:val="0"/>
          <w:sz w:val="26"/>
        </w:rPr>
        <w:t>2.5 Gaps in Existing Literature and Systems</w:t>
      </w:r>
    </w:p>
    <w:p>
      <w:pPr>
        <w:spacing w:lineRule="auto" w:line="276" w:after="200"/>
        <w:ind w:firstLine="576"/>
        <w:jc w:val="both"/>
      </w:pPr>
      <w:r>
        <w:rPr>
          <w:rFonts w:ascii="Times New Roman" w:hAnsi="Times New Roman" w:eastAsia="Times New Roman"/>
          <w:b w:val="0"/>
          <w:i w:val="0"/>
          <w:sz w:val="24"/>
        </w:rPr>
        <w:t>Synthesising Sections 2.3 and 2.4, five specific gaps can be identified that this study responds to directly, rather than treating “manual recruitment is inefficient” as a sufficient justification on its own:</w:t>
      </w:r>
    </w:p>
    <w:p>
      <w:pPr>
        <w:pStyle w:val="ListBullet"/>
        <w:spacing w:lineRule="auto" w:line="276" w:after="120"/>
      </w:pPr>
      <w:r>
        <w:rPr>
          <w:rFonts w:ascii="Times New Roman" w:hAnsi="Times New Roman" w:eastAsia="Times New Roman"/>
          <w:b w:val="0"/>
          <w:i w:val="0"/>
          <w:sz w:val="24"/>
        </w:rPr>
        <w:t>Fragmentation between recruitment and employee management. The reviewed commercial systems are predominantly point solutions — an ATS handles hiring, a separate HRIS or payroll system handles the employee thereafter — which the e-HRM literature's call for holistic, lifecycle-level system evaluation (Bondarouk et al., 2017) suggests is a conceptual as well as a practical shortcoming.</w:t>
      </w:r>
    </w:p>
    <w:p>
      <w:pPr>
        <w:pStyle w:val="ListBullet"/>
        <w:spacing w:lineRule="auto" w:line="276" w:after="120"/>
      </w:pPr>
      <w:r>
        <w:rPr>
          <w:rFonts w:ascii="Times New Roman" w:hAnsi="Times New Roman" w:eastAsia="Times New Roman"/>
          <w:b w:val="0"/>
          <w:i w:val="0"/>
          <w:sz w:val="24"/>
        </w:rPr>
        <w:t>Cost and infrastructure mismatch for African SMEs. Adoption studies from Cameroon, and public-sector e-HRM research from a comparable emerging economy, consistently identify cost, infrastructure instability and limited ICT skill as the binding constraints on HRIS adoption, yet the dominant commercial platforms reviewed in Section 2.3.2 are priced and designed around enterprise, high-connectivity assumptions.</w:t>
      </w:r>
    </w:p>
    <w:p>
      <w:pPr>
        <w:pStyle w:val="ListBullet"/>
        <w:spacing w:lineRule="auto" w:line="276" w:after="120"/>
      </w:pPr>
      <w:r>
        <w:rPr>
          <w:rFonts w:ascii="Times New Roman" w:hAnsi="Times New Roman" w:eastAsia="Times New Roman"/>
          <w:b w:val="0"/>
          <w:i w:val="0"/>
          <w:sz w:val="24"/>
        </w:rPr>
        <w:t>Opaque AI scoring. The bias and fairness literature reviewed in Section 2.3.6 converges on the need for decomposed, auditable scoring rather than a single aggregate match percentage, yet most commercial and research systems reviewed either do not publish their scoring logic or return an undecomposed score.</w:t>
      </w:r>
    </w:p>
    <w:p>
      <w:pPr>
        <w:pStyle w:val="ListBullet"/>
        <w:spacing w:lineRule="auto" w:line="276" w:after="120"/>
      </w:pPr>
      <w:r>
        <w:rPr>
          <w:rFonts w:ascii="Times New Roman" w:hAnsi="Times New Roman" w:eastAsia="Times New Roman"/>
          <w:b w:val="0"/>
          <w:i w:val="0"/>
          <w:sz w:val="24"/>
        </w:rPr>
        <w:t>Limited empirical grounding in the Ghanaian context specifically. While Ghana- and East Africa-specific studies exist (Amoako et al., 2023; Twinamasiko, 2026; the five-firm Ghanaian study reviewed in Section 2.3.1), they examine recruitment practice and e-HRM adoption in general terms; none evaluates an integrated AI-screening-plus-HRIS platform built and tested specifically for this market.</w:t>
      </w:r>
    </w:p>
    <w:p>
      <w:pPr>
        <w:pStyle w:val="ListBullet"/>
        <w:spacing w:lineRule="auto" w:line="276" w:after="120"/>
      </w:pPr>
      <w:r>
        <w:rPr>
          <w:rFonts w:ascii="Times New Roman" w:hAnsi="Times New Roman" w:eastAsia="Times New Roman"/>
          <w:b w:val="0"/>
          <w:i w:val="0"/>
          <w:sz w:val="24"/>
        </w:rPr>
        <w:t>Absence of a documented, criterion-referenced rubric suitable for local validation. Because published commercial systems do not expose their scoring methodology, no baseline exists against which a Ghanaian organisation, researcher, or regulator could independently assess whether an AI screening tool's judgements are consistent, explicable and free of the “illusion of neutrality” identified in recent audits (Webster, 2025).</w:t>
      </w:r>
    </w:p>
    <w:p>
      <w:pPr>
        <w:spacing w:before="360" w:after="200" w:lineRule="auto" w:line="276"/>
      </w:pPr>
      <w:r>
        <w:rPr>
          <w:rFonts w:ascii="Times New Roman" w:hAnsi="Times New Roman" w:eastAsia="Times New Roman"/>
          <w:b/>
          <w:i w:val="0"/>
          <w:sz w:val="26"/>
        </w:rPr>
        <w:t>2.6 Enabling Technologies Adopted in This Study</w:t>
      </w:r>
    </w:p>
    <w:p>
      <w:pPr>
        <w:spacing w:lineRule="auto" w:line="276" w:after="200"/>
        <w:ind w:firstLine="576"/>
        <w:jc w:val="both"/>
      </w:pPr>
      <w:r>
        <w:rPr>
          <w:rFonts w:ascii="Times New Roman" w:hAnsi="Times New Roman" w:eastAsia="Times New Roman"/>
          <w:b w:val="0"/>
          <w:i w:val="0"/>
          <w:sz w:val="24"/>
        </w:rPr>
        <w:t>The technology choices underlying CoreRecruiter are presented here not as a neutral implementation detail but as a direct, evidence-based response to the gaps identified in Section 2.5, and are described in fuller technical detail in Chapter Three.</w:t>
      </w:r>
    </w:p>
    <w:p>
      <w:pPr>
        <w:spacing w:before="240" w:after="160" w:lineRule="auto" w:line="276"/>
      </w:pPr>
      <w:r>
        <w:rPr>
          <w:rFonts w:ascii="Times New Roman" w:hAnsi="Times New Roman" w:eastAsia="Times New Roman"/>
          <w:b/>
          <w:i w:val="0"/>
          <w:sz w:val="24"/>
        </w:rPr>
        <w:t>2.6.1 A Single Integrated Web Platform Rather than Point Solutions</w:t>
      </w:r>
    </w:p>
    <w:p>
      <w:pPr>
        <w:spacing w:lineRule="auto" w:line="276" w:after="200"/>
        <w:ind w:firstLine="576"/>
        <w:jc w:val="both"/>
      </w:pPr>
      <w:r>
        <w:rPr>
          <w:rFonts w:ascii="Times New Roman" w:hAnsi="Times New Roman" w:eastAsia="Times New Roman"/>
          <w:b w:val="0"/>
          <w:i w:val="0"/>
          <w:sz w:val="24"/>
        </w:rPr>
        <w:t>CoreRecruiter is built as one application spanning recruitment (job listings, applications, AI screening and ranking, interview scheduling), onboarding, employee self-service (attendance, leave, payroll, document management, complaint reporting) and HR administration (departments, announcements, reporting, role-based permissions), sharing a single data model. This directly answers the fragmentation gap identified in Section 2.5: a candidate's screening record, once hired, becomes the same employee record used for onboarding and subsequent HR processes, rather than requiring re-entry into a second system — the specific integration failure the reviewed commercial ATS products do not solve.</w:t>
      </w:r>
    </w:p>
    <w:p>
      <w:pPr>
        <w:spacing w:before="240" w:after="160" w:lineRule="auto" w:line="276"/>
      </w:pPr>
      <w:r>
        <w:rPr>
          <w:rFonts w:ascii="Times New Roman" w:hAnsi="Times New Roman" w:eastAsia="Times New Roman"/>
          <w:b/>
          <w:i w:val="0"/>
          <w:sz w:val="24"/>
        </w:rPr>
        <w:t>2.6.2 Tool-Calling LLM Agent Architecture for Transparent Screening</w:t>
      </w:r>
    </w:p>
    <w:p>
      <w:pPr>
        <w:spacing w:lineRule="auto" w:line="276" w:after="200"/>
        <w:ind w:firstLine="576"/>
        <w:jc w:val="both"/>
      </w:pPr>
      <w:r>
        <w:rPr>
          <w:rFonts w:ascii="Times New Roman" w:hAnsi="Times New Roman" w:eastAsia="Times New Roman"/>
          <w:b w:val="0"/>
          <w:i w:val="0"/>
          <w:sz w:val="24"/>
        </w:rPr>
        <w:t>Rather than a fine-tuned classifier returning a single opaque score, CoreRecruiter implements AI screening as a tool-calling agent: the model is instructed to retrieve the job's structured requirements and the candidate's structured profile and submitted CV through explicit function calls before producing a verdict, mirroring the retrieve-then-reason pattern shown in the LLM-agent résumé-screening literature (Gan et al., 2024) to outperform an undirected prompt against the same model. Critically, the output is not a single aggregate number: the system decomposes the score into four independently weighted sub-scores — required skills (40 points), experience relevance (30 points), education (15 points) and nice-to-have qualifications (15 points) — alongside the model's stated top strengths, top gaps, and any salary-expectation flag, so that an HR user can trace exactly why a candidate received a given score rather than trusting an unexplained ranking. This is a direct, if partial, response to the “illusion of neutrality” critique in Section 2.3.6: decomposition does not by itself guarantee the absence of bias, but it converts the scoring process from an unauditable black box into one whose reasoning a human reviewer can inspect and, if necessary, override — which the fairness literature identifies as a prerequisite for, not a substitute for, ongoing bias monitoring. The system is also run at zero temperature specifically to satisfy the consistency requirement that identical inputs should not yield different scores on repeated runs, a basic reliability property that is a precondition for treating the score as evidence rather than noise. Screening runs as a scheduled batch process rather than blocking the candidate's application in real time, which keeps the applicant-facing experience fast while the more deliberate, multi-step evaluation happens asynchronously — and the resulting ranked shortlist is exposed to HR through a dedicated ranking tool rather than silently reordering candidates without explanation.</w:t>
      </w:r>
    </w:p>
    <w:p>
      <w:pPr>
        <w:spacing w:before="240" w:after="160" w:lineRule="auto" w:line="276"/>
      </w:pPr>
      <w:r>
        <w:rPr>
          <w:rFonts w:ascii="Times New Roman" w:hAnsi="Times New Roman" w:eastAsia="Times New Roman"/>
          <w:b/>
          <w:i w:val="0"/>
          <w:sz w:val="24"/>
        </w:rPr>
        <w:t>2.6.3 Cost- and Connectivity-Conscious Delivery</w:t>
      </w:r>
    </w:p>
    <w:p>
      <w:pPr>
        <w:spacing w:lineRule="auto" w:line="276" w:after="200"/>
        <w:ind w:firstLine="576"/>
        <w:jc w:val="both"/>
      </w:pPr>
      <w:r>
        <w:rPr>
          <w:rFonts w:ascii="Times New Roman" w:hAnsi="Times New Roman" w:eastAsia="Times New Roman"/>
          <w:b w:val="0"/>
          <w:i w:val="0"/>
          <w:sz w:val="24"/>
        </w:rPr>
        <w:t>Where enterprise ATS platforms assume dedicated IT departments and multi-month implementation windows, CoreRecruiter is delivered as a modern, cloud-deployable web application (a Next.js/React front end over a Node.js API) requiring no local installation and minimal ongoing administration, directly targeting the cost and technical-support barriers that the Cameroonian SME and emerging-economy public-sector adoption studies (Noutsa Fobang et al., 2019; Amoako et al., 2023) identify as the most frequently cited obstacles to HRIS adoption in comparable settings. This does not, on its own, resolve the infrastructure-instability concern those same studies raise, and that limitation is acknowledged explicitly rather than assumed away; it is treated in this study as a constraint for the system's deployment strategy rather than a problem the software layer alone can solve.</w:t>
      </w:r>
    </w:p>
    <w:p>
      <w:pPr>
        <w:spacing w:before="240" w:after="160" w:lineRule="auto" w:line="276"/>
      </w:pPr>
      <w:r>
        <w:rPr>
          <w:rFonts w:ascii="Times New Roman" w:hAnsi="Times New Roman" w:eastAsia="Times New Roman"/>
          <w:b/>
          <w:i w:val="0"/>
          <w:sz w:val="24"/>
        </w:rPr>
        <w:t>2.6.4 Usability for HR Staff with Limited Prior Exposure to HR Software</w:t>
      </w:r>
    </w:p>
    <w:p>
      <w:pPr>
        <w:spacing w:lineRule="auto" w:line="276" w:after="200"/>
        <w:ind w:firstLine="576"/>
        <w:jc w:val="both"/>
      </w:pPr>
      <w:r>
        <w:rPr>
          <w:rFonts w:ascii="Times New Roman" w:hAnsi="Times New Roman" w:eastAsia="Times New Roman"/>
          <w:b w:val="0"/>
          <w:i w:val="0"/>
          <w:sz w:val="24"/>
        </w:rPr>
        <w:t>Consistent with the Technology Acceptance Model's emphasis on perceived ease of use as a co-determinant of adoption alongside usefulness (Section 2.2.3), and with the specific finding that digital-literacy variation among HR staff is a binding constraint on HRIS uptake in the region (Quaosar &amp; Rahman, 2021), the platform's HR dashboard is designed around task-oriented views (applicants, jobs, interviews, employees, leave, payroll) rather than a general-purpose configuration console, and is supplemented by a conversational HR assistant that lets a user retrieve information or trigger routine actions in natural language rather than navigating a deep menu structure. This design choice is presented here as a hypothesis motivated by the literature, not a proven outcome; its effect on actual adoption is a question for the usability evaluation described in Chapter Four, not a claim this chapter is in a position to settle.</w:t>
      </w:r>
    </w:p>
    <w:p>
      <w:pPr>
        <w:spacing w:before="360" w:after="200" w:lineRule="auto" w:line="276"/>
      </w:pPr>
      <w:r>
        <w:rPr>
          <w:rFonts w:ascii="Times New Roman" w:hAnsi="Times New Roman" w:eastAsia="Times New Roman"/>
          <w:b/>
          <w:i w:val="0"/>
          <w:sz w:val="26"/>
        </w:rPr>
        <w:t>2.7 Conceptual Framework for the Study</w:t>
      </w:r>
    </w:p>
    <w:p>
      <w:pPr>
        <w:spacing w:lineRule="auto" w:line="276" w:after="200"/>
        <w:ind w:firstLine="576"/>
        <w:jc w:val="both"/>
      </w:pPr>
      <w:r>
        <w:rPr>
          <w:rFonts w:ascii="Times New Roman" w:hAnsi="Times New Roman" w:eastAsia="Times New Roman"/>
          <w:b w:val="0"/>
          <w:i w:val="0"/>
          <w:sz w:val="24"/>
        </w:rPr>
        <w:t>The review above can be drawn together into a conceptual framework that links the identified problem to the identified gap and the proposed intervention. Manual, fragmented recruitment practice in Ghanaian organisations (Section 2.3.1) produces slow, subjectivity-prone hiring decisions; the commercial and academic systems that exist to address this problem elsewhere either assume an enterprise operating context this study's target organisations do not have, or offer AI screening whose reasoning is not exposed to the people relying on it (Sections 2.3.2, 2.3.4, 2.3.6); and the HRIS-adoption literature specific to Sub-Saharan Africa identifies cost, infrastructure and digital-literacy mismatch — not a rejection of digital HR tools in principle — as the reason uptake has lagged (Section 2.3.3). CoreRecruiter is positioned as an intervention at the point where these three strands intersect: a single integrated platform (closing the fragmentation gap), delivering AI screening whose sub-scores and reasoning are exposed to the HR user rather than hidden (closing the transparency gap), built and priced for delivery over constrained infrastructure to organisations without a dedicated IT department (closing the cost/context gap). This framework does not assert that the intervention succeeds — that is an empirical question for the evaluation reported in Chapter Four — only that it is designed in direct response to specific, cited shortcomings in the systems and practices that currently exist, rather than in response to a generic, unexamined assumption that “AI improves hiring.”</w:t>
      </w:r>
    </w:p>
    <w:p>
      <w:pPr>
        <w:spacing w:before="360" w:after="200" w:lineRule="auto" w:line="276"/>
      </w:pPr>
      <w:r>
        <w:rPr>
          <w:rFonts w:ascii="Times New Roman" w:hAnsi="Times New Roman" w:eastAsia="Times New Roman"/>
          <w:b/>
          <w:i w:val="0"/>
          <w:sz w:val="26"/>
        </w:rPr>
        <w:t>2.8 Chapter Summary</w:t>
      </w:r>
    </w:p>
    <w:p>
      <w:pPr>
        <w:spacing w:lineRule="auto" w:line="276" w:after="200"/>
        <w:ind w:firstLine="576"/>
        <w:jc w:val="both"/>
      </w:pPr>
      <w:r>
        <w:rPr>
          <w:rFonts w:ascii="Times New Roman" w:hAnsi="Times New Roman" w:eastAsia="Times New Roman"/>
          <w:b w:val="0"/>
          <w:i w:val="0"/>
          <w:sz w:val="24"/>
        </w:rPr>
        <w:t>This chapter has situated CoreRecruiter within Human Resource Management theory, the Technology Acceptance Model, Person–Job and Person–Organisation Fit theory, and the technical literature on NLP- and LLM-agent-based résumé screening. It has critically reviewed empirical studies of recruitment practice and HRIS/e-HRM adoption in Ghana and comparable Sub-Saharan African economies alongside the dominant commercial ATS and HRIS platforms, and has engaged directly with the algorithmic-bias and applicant-fairness literature rather than treating AI screening as unambiguously beneficial. The chapter has argued, and supported with cited evidence rather than assertion, that the specific combination of fragmentation, cost/infrastructure mismatch and scoring opacity documented across this literature has not been jointly addressed by any system reviewed, and that this combination — not any single gap in isolation — defines the contribution this study sets out to make. Chapter Three now translates the design obligations derived here (integration, transparency, and cost/context fit) into the concrete system architecture, data model and screening rubric implemented in CoreRecruiter.</w:t>
      </w:r>
    </w:p>
    <w:p>
      <w:r>
        <w:br w:type="page"/>
      </w:r>
    </w:p>
    <w:p>
      <w:pPr>
        <w:spacing w:before="360" w:after="200" w:lineRule="auto" w:line="276"/>
      </w:pPr>
      <w:r>
        <w:rPr>
          <w:rFonts w:ascii="Times New Roman" w:hAnsi="Times New Roman" w:eastAsia="Times New Roman"/>
          <w:b/>
          <w:i w:val="0"/>
          <w:sz w:val="26"/>
        </w:rPr>
        <w:t>References</w:t>
      </w:r>
    </w:p>
    <w:p>
      <w:pPr>
        <w:spacing w:lineRule="auto" w:line="276" w:after="160"/>
        <w:ind w:left="720" w:hanging="720"/>
      </w:pPr>
      <w:r>
        <w:rPr>
          <w:rFonts w:ascii="Times New Roman" w:hAnsi="Times New Roman" w:eastAsia="Times New Roman"/>
          <w:b w:val="0"/>
          <w:i w:val="0"/>
          <w:sz w:val="24"/>
        </w:rPr>
        <w:t>Albaroudi, E., Mansouri, T., &amp; Alameer, A. (2024). A comprehensive review of AI techniques for addressing algorithmic bias in job hiring. AI, 5(1), 383–404. https://doi.org/10.3390/ai5010019</w:t>
      </w:r>
    </w:p>
    <w:p>
      <w:pPr>
        <w:spacing w:lineRule="auto" w:line="276" w:after="160"/>
        <w:ind w:left="720" w:hanging="720"/>
      </w:pPr>
      <w:r>
        <w:rPr>
          <w:rFonts w:ascii="Times New Roman" w:hAnsi="Times New Roman" w:eastAsia="Times New Roman"/>
          <w:b w:val="0"/>
          <w:i w:val="0"/>
          <w:sz w:val="24"/>
        </w:rPr>
        <w:t>Amoako, R., Jiang, Y., Adu-Yeboah, S. S., Frempong, M. F., &amp; Tetteh, S. (2023). Factors influencing electronic human resource management implementation in public organisations in an emerging economy: An empirical study. South African Journal of Business Management, 54(1), Article a2937. https://doi.org/10.4102/sajbm.v54i1.2937</w:t>
      </w:r>
    </w:p>
    <w:p>
      <w:pPr>
        <w:spacing w:lineRule="auto" w:line="276" w:after="160"/>
        <w:ind w:left="720" w:hanging="720"/>
      </w:pPr>
      <w:r>
        <w:rPr>
          <w:rFonts w:ascii="Times New Roman" w:hAnsi="Times New Roman" w:eastAsia="Times New Roman"/>
          <w:b w:val="0"/>
          <w:i w:val="0"/>
          <w:sz w:val="24"/>
        </w:rPr>
        <w:t>Bandara, R. J., Biswas, K., Akter, S., Shafique, S., &amp; Rahman, M. (2025). Addressing algorithmic bias in AI-driven HRM systems: Implications for strategic HRM effectiveness. Human Resource Management Journal. https://doi.org/10.1111/1748-8583.12609</w:t>
      </w:r>
    </w:p>
    <w:p>
      <w:pPr>
        <w:spacing w:lineRule="auto" w:line="276" w:after="160"/>
        <w:ind w:left="720" w:hanging="720"/>
      </w:pPr>
      <w:r>
        <w:rPr>
          <w:rFonts w:ascii="Times New Roman" w:hAnsi="Times New Roman" w:eastAsia="Times New Roman"/>
          <w:b w:val="0"/>
          <w:i w:val="0"/>
          <w:sz w:val="24"/>
        </w:rPr>
        <w:t>Bondarouk, T., Parry, E., &amp; Furtmueller, E. (2017). Electronic HRM: Four decades of research on adoption and consequences. The International Journal of Human Resource Management, 28(1), 98–131. https://doi.org/10.1080/09585192.2016.1245672</w:t>
      </w:r>
    </w:p>
    <w:p>
      <w:pPr>
        <w:spacing w:lineRule="auto" w:line="276" w:after="160"/>
        <w:ind w:left="720" w:hanging="720"/>
      </w:pPr>
      <w:r>
        <w:rPr>
          <w:rFonts w:ascii="Times New Roman" w:hAnsi="Times New Roman" w:eastAsia="Times New Roman"/>
          <w:b w:val="0"/>
          <w:i w:val="0"/>
          <w:sz w:val="24"/>
        </w:rPr>
        <w:t>Căvescu, A. M., &amp; Popescu, N. (2025). Predictive analytics in human resources management: Evaluating AIHR’s role in talent retention. AppliedMath, 5(3), 99. https://doi.org/10.3390/appliedmath5030099</w:t>
      </w:r>
    </w:p>
    <w:p>
      <w:pPr>
        <w:spacing w:lineRule="auto" w:line="276" w:after="160"/>
        <w:ind w:left="720" w:hanging="720"/>
      </w:pPr>
      <w:r>
        <w:rPr>
          <w:rFonts w:ascii="Times New Roman" w:hAnsi="Times New Roman" w:eastAsia="Times New Roman"/>
          <w:b w:val="0"/>
          <w:i w:val="0"/>
          <w:sz w:val="24"/>
        </w:rPr>
        <w:t>Data Protection Act, 2012 (Act 843) (Ghana). https://www.dataprotection.org.gh/data-protection-act</w:t>
      </w:r>
    </w:p>
    <w:p>
      <w:pPr>
        <w:spacing w:lineRule="auto" w:line="276" w:after="160"/>
        <w:ind w:left="720" w:hanging="720"/>
      </w:pPr>
      <w:r>
        <w:rPr>
          <w:rFonts w:ascii="Times New Roman" w:hAnsi="Times New Roman" w:eastAsia="Times New Roman"/>
          <w:b w:val="0"/>
          <w:i w:val="0"/>
          <w:sz w:val="24"/>
        </w:rPr>
        <w:t>Davis, F. D. (1989). Perceived usefulness, perceived ease of use, and user acceptance of information technology. MIS Quarterly, 13(3), 319–340. https://doi.org/10.2307/249008</w:t>
      </w:r>
    </w:p>
    <w:p>
      <w:pPr>
        <w:spacing w:lineRule="auto" w:line="276" w:after="160"/>
        <w:ind w:left="720" w:hanging="720"/>
      </w:pPr>
      <w:r>
        <w:rPr>
          <w:rFonts w:ascii="Times New Roman" w:hAnsi="Times New Roman" w:eastAsia="Times New Roman"/>
          <w:b w:val="0"/>
          <w:i w:val="0"/>
          <w:sz w:val="24"/>
        </w:rPr>
        <w:t>Gan, C., Zhang, Q., &amp; Mori, T. (2024). Application of LLM agents in recruitment: A novel framework for resume screening. arXiv. https://arxiv.org/abs/2401.08315</w:t>
      </w:r>
    </w:p>
    <w:p>
      <w:pPr>
        <w:spacing w:lineRule="auto" w:line="276" w:after="160"/>
        <w:ind w:left="720" w:hanging="720"/>
      </w:pPr>
      <w:r>
        <w:rPr>
          <w:rFonts w:ascii="Times New Roman" w:hAnsi="Times New Roman" w:eastAsia="Times New Roman"/>
          <w:b w:val="0"/>
          <w:i w:val="0"/>
          <w:sz w:val="24"/>
        </w:rPr>
        <w:t>Hilliard, A., Guenole, N., &amp; Leutner, F. (2022). Robots are judging me: Perceived fairness of algorithmic recruitment tools. Frontiers in Psychology, 13, Article 940456. https://doi.org/10.3389/fpsyg.2022.940456</w:t>
      </w:r>
    </w:p>
    <w:p>
      <w:pPr>
        <w:spacing w:lineRule="auto" w:line="276" w:after="160"/>
        <w:ind w:left="720" w:hanging="720"/>
      </w:pPr>
      <w:r>
        <w:rPr>
          <w:rFonts w:ascii="Times New Roman" w:hAnsi="Times New Roman" w:eastAsia="Times New Roman"/>
          <w:b w:val="0"/>
          <w:i w:val="0"/>
          <w:sz w:val="24"/>
        </w:rPr>
        <w:t>Kristof, A. L. (1996). Person–organization fit: An integrative review of its conceptualizations, measurement, and implications. Personnel Psychology, 49(1), 1–49. https://doi.org/10.1111/j.1744-6570.1996.tb01790.x</w:t>
      </w:r>
    </w:p>
    <w:p>
      <w:pPr>
        <w:spacing w:lineRule="auto" w:line="276" w:after="160"/>
        <w:ind w:left="720" w:hanging="720"/>
      </w:pPr>
      <w:r>
        <w:rPr>
          <w:rFonts w:ascii="Times New Roman" w:hAnsi="Times New Roman" w:eastAsia="Times New Roman"/>
          <w:b w:val="0"/>
          <w:i w:val="0"/>
          <w:sz w:val="24"/>
        </w:rPr>
        <w:t>Kristof-Brown, A. L., Zimmerman, R. D., &amp; Johnson, E. C. (2005). Consequences of individuals’ fit at work: A meta-analysis of person–job, person–organization, person–group, and person–supervisor fit. Personnel Psychology, 58(2), 281–342. https://doi.org/10.1111/j.1744-6570.2005.00672.x</w:t>
      </w:r>
    </w:p>
    <w:p>
      <w:pPr>
        <w:spacing w:lineRule="auto" w:line="276" w:after="160"/>
        <w:ind w:left="720" w:hanging="720"/>
      </w:pPr>
      <w:r>
        <w:rPr>
          <w:rFonts w:ascii="Times New Roman" w:hAnsi="Times New Roman" w:eastAsia="Times New Roman"/>
          <w:b w:val="0"/>
          <w:i w:val="0"/>
          <w:sz w:val="24"/>
        </w:rPr>
        <w:t>Nasar, N., &amp; Ray, S. (2024). A user acceptance model for e-HRM system implemented in IT and non-IT business organizations. Human Systems Management. https://doi.org/10.3233/HSM-220177</w:t>
      </w:r>
    </w:p>
    <w:p>
      <w:pPr>
        <w:spacing w:lineRule="auto" w:line="276" w:after="160"/>
        <w:ind w:left="720" w:hanging="720"/>
      </w:pPr>
      <w:r>
        <w:rPr>
          <w:rFonts w:ascii="Times New Roman" w:hAnsi="Times New Roman" w:eastAsia="Times New Roman"/>
          <w:b w:val="0"/>
          <w:i w:val="0"/>
          <w:sz w:val="24"/>
        </w:rPr>
        <w:t>Noutsa Fobang, A., Fosso Wamba, S., &amp; Kala Kamdjoug, J. R. (2019). Exploring factors affecting the adoption of HRIS in SMEs in a developing country: Evidence from Cameroon. In Y. K. Dwivedi, E. L. Slade, M. A. Shareef, M. Bunker, &amp; A. Rana (Eds.), Information systems (pp. 237–248). Springer. https://doi.org/10.1007/978-3-030-10737-6_18</w:t>
      </w:r>
    </w:p>
    <w:p>
      <w:pPr>
        <w:spacing w:lineRule="auto" w:line="276" w:after="160"/>
        <w:ind w:left="720" w:hanging="720"/>
      </w:pPr>
      <w:r>
        <w:rPr>
          <w:rFonts w:ascii="Times New Roman" w:hAnsi="Times New Roman" w:eastAsia="Times New Roman"/>
          <w:b w:val="0"/>
          <w:i w:val="0"/>
          <w:sz w:val="24"/>
        </w:rPr>
        <w:t>Quaosar, G. M. A. A., &amp; Rahman, M. S. (2021). Human resource information systems (HRIS) of developing countries in 21st century: Review and prospects. Journal of Human Resource and Sustainability Studies, 9(3), 470–483. https://doi.org/10.4236/jhrss.2021.93030</w:t>
      </w:r>
    </w:p>
    <w:p>
      <w:pPr>
        <w:spacing w:lineRule="auto" w:line="276" w:after="160"/>
        <w:ind w:left="720" w:hanging="720"/>
      </w:pPr>
      <w:r>
        <w:rPr>
          <w:rFonts w:ascii="Times New Roman" w:hAnsi="Times New Roman" w:eastAsia="Times New Roman"/>
          <w:b w:val="0"/>
          <w:i w:val="0"/>
          <w:sz w:val="24"/>
        </w:rPr>
        <w:t>Twinamasiko, F. (2026). Electronic human resource management (E-HRM) and recruitment &amp; selection effectiveness: Enhancing efficiency, transparency, and decision quality. East African Journal of Business and Economics, 9(1), 76–89.</w:t>
      </w:r>
    </w:p>
    <w:p>
      <w:pPr>
        <w:spacing w:lineRule="auto" w:line="276" w:after="160"/>
        <w:ind w:left="720" w:hanging="720"/>
      </w:pPr>
      <w:r>
        <w:rPr>
          <w:rFonts w:ascii="Times New Roman" w:hAnsi="Times New Roman" w:eastAsia="Times New Roman"/>
          <w:b w:val="0"/>
          <w:i w:val="0"/>
          <w:sz w:val="24"/>
        </w:rPr>
        <w:t>Webster, K. T. (2025). Fairness is not enough: Auditing competence and intersectional bias in AI-powered resume screening. arXiv. https://arxiv.org/abs/2507.11548</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