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FRANKLIN JESÚS MOYA ARTAVIA</w:t>
      </w:r>
    </w:p>
    <w:p>
      <w:pPr>
        <w:spacing w:after="60"/>
        <w:jc w:val="center"/>
      </w:pPr>
      <w:r>
        <w:rPr>
          <w:rFonts w:ascii="Arial" w:cs="Arial" w:eastAsia="Arial" w:hAnsi="Arial"/>
          <w:i/>
          <w:iCs/>
          <w:color w:val="555555"/>
          <w:sz w:val="22"/>
          <w:szCs w:val="22"/>
        </w:rPr>
        <w:t xml:space="preserve">Líder en Cadena de Suministro y Operaciones  |  Gestión de Proyectos  |  Ingeniería Industrial</w:t>
      </w:r>
    </w:p>
    <w:p>
      <w:pPr>
        <w:spacing w:after="200"/>
        <w:jc w:val="center"/>
      </w:pPr>
      <w:r>
        <w:rPr>
          <w:rFonts w:ascii="Arial" w:cs="Arial" w:eastAsia="Arial" w:hAnsi="Arial"/>
          <w:color w:val="555555"/>
          <w:sz w:val="18"/>
          <w:szCs w:val="18"/>
        </w:rPr>
        <w:t xml:space="preserve">San José, Costa Rica  •  +506 8765 5047  •  frank.moya261@gmail.com  •  linkedin.com/in/franklinmoya-artavia-72523b121</w:t>
      </w:r>
    </w:p>
    <w:p>
      <w:pPr>
        <w:pBdr>
          <w:bottom w:val="single" w:color="2E75B6" w:sz="4" w:space="1"/>
        </w:pBdr>
        <w:spacing w:after="160" w:before="0"/>
      </w:pPr>
    </w:p>
    <w:p>
      <w:pPr>
        <w:pBdr>
          <w:bottom w:val="single" w:color="2E75B6" w:sz="6" w:space="1"/>
        </w:pBdr>
        <w:spacing w:after="60" w:before="240"/>
      </w:pPr>
      <w:r>
        <w:rPr>
          <w:rFonts w:ascii="Arial" w:cs="Arial" w:eastAsia="Arial" w:hAnsi="Arial"/>
          <w:b/>
          <w:bCs/>
          <w:color w:val="1F4E79"/>
          <w:sz w:val="22"/>
          <w:szCs w:val="22"/>
        </w:rPr>
        <w:t xml:space="preserve">RESUMEN PROFESIONAL</w:t>
      </w:r>
    </w:p>
    <w:p>
      <w:pPr>
        <w:spacing w:after="160"/>
      </w:pPr>
      <w:r>
        <w:rPr>
          <w:rFonts w:ascii="Arial" w:cs="Arial" w:eastAsia="Arial" w:hAnsi="Arial"/>
          <w:sz w:val="20"/>
          <w:szCs w:val="20"/>
        </w:rPr>
        <w:t xml:space="preserve">Líder en operaciones y cadena de suministro con más de 10 años de experiencia combinada en logística internacional, operaciones de salud de alto volumen, gestión ágil de proyectos y formación en liderazgo. Actualmente dirige las operaciones integrales de un courier internacional que maneja más de 75,000 kg y 60,000 paquetes mensuales entre Estados Unidos y Costa Rica. Scrum Master certificado con resultados comprobados liderando equipos multifuncionales en entornos fintech. Ex especialista en UCB Inc. gestionando preautorizaciones de seguros para Cleveland Clinic Florida, en un entorno de alto cumplimiento normativo operado íntegramente en inglés. Profesional trilüngüe (español nativo, inglés C1, italiano, francés) con sólida formación en pensamiento analítico, liderazgo ético y optimización de sistemas.</w:t>
      </w:r>
    </w:p>
    <w:p>
      <w:pPr>
        <w:pBdr>
          <w:bottom w:val="single" w:color="2E75B6" w:sz="6" w:space="1"/>
        </w:pBdr>
        <w:spacing w:after="60" w:before="240"/>
      </w:pPr>
      <w:r>
        <w:rPr>
          <w:rFonts w:ascii="Arial" w:cs="Arial" w:eastAsia="Arial" w:hAnsi="Arial"/>
          <w:b/>
          <w:bCs/>
          <w:color w:val="1F4E79"/>
          <w:sz w:val="22"/>
          <w:szCs w:val="22"/>
        </w:rPr>
        <w:t xml:space="preserve">COMPETENCIAS CLAVE</w:t>
      </w:r>
    </w:p>
    <w:p>
      <w:pPr>
        <w:spacing w:after="160"/>
      </w:pPr>
      <w:r>
        <w:rPr>
          <w:rFonts w:ascii="Arial" w:cs="Arial" w:eastAsia="Arial" w:hAnsi="Arial"/>
          <w:color w:val="333333"/>
          <w:sz w:val="20"/>
          <w:szCs w:val="20"/>
        </w:rPr>
        <w:t xml:space="preserve">Cadena de Suministro y Operaciones  •  Planificación S&amp;OP  •  Logística Internacional  •  Nacionalización Aduanera (Costa Rica)  •  Autorización de Seguros y Cumplimiento  •  Compras y Gestión de Proveedores  •  Control de Inventarios  •  Optimización de Procesos (Lean / Six Sigma)  •  Gestión Ágil / Scrum  •  Liderazgo de Equipos Multifuncionales  •  Gestión de Escalaciones  •  Cumplimiento Normativo  •  Toma de Decisiones Basada en Datos</w:t>
      </w:r>
    </w:p>
    <w:p>
      <w:pPr>
        <w:pBdr>
          <w:bottom w:val="single" w:color="2E75B6" w:sz="6" w:space="1"/>
        </w:pBdr>
        <w:spacing w:after="60" w:before="240"/>
      </w:pPr>
      <w:r>
        <w:rPr>
          <w:rFonts w:ascii="Arial" w:cs="Arial" w:eastAsia="Arial" w:hAnsi="Arial"/>
          <w:b/>
          <w:bCs/>
          <w:color w:val="1F4E79"/>
          <w:sz w:val="22"/>
          <w:szCs w:val="22"/>
        </w:rPr>
        <w:t xml:space="preserve">EXPERIENCIA PROFESIONAL</w:t>
      </w:r>
    </w:p>
    <w:p>
      <w:pPr>
        <w:tabs>
          <w:tab w:val="right" w:pos="9026"/>
        </w:tabs>
        <w:spacing w:after="40" w:before="160"/>
      </w:pPr>
      <w:r>
        <w:rPr>
          <w:rFonts w:ascii="Arial" w:cs="Arial" w:eastAsia="Arial" w:hAnsi="Arial"/>
          <w:b/>
          <w:bCs/>
          <w:color w:val="1F4E79"/>
          <w:sz w:val="22"/>
          <w:szCs w:val="22"/>
        </w:rPr>
        <w:t xml:space="preserve">Líder de Operaciones y Cadena de Suministro</w:t>
      </w:r>
      <w:r>
        <w:rPr>
          <w:rFonts w:ascii="Arial" w:cs="Arial" w:eastAsia="Arial" w:hAnsi="Arial"/>
          <w:color w:val="888888"/>
          <w:sz w:val="20"/>
          <w:szCs w:val="20"/>
        </w:rPr>
        <w:t xml:space="preserve">  |  </w:t>
      </w:r>
      <w:r>
        <w:rPr>
          <w:rFonts w:ascii="Arial" w:cs="Arial" w:eastAsia="Arial" w:hAnsi="Arial"/>
          <w:b/>
          <w:bCs/>
          <w:sz w:val="20"/>
          <w:szCs w:val="20"/>
        </w:rPr>
        <w:t xml:space="preserve">ACS Cargo CR LLC / ACS Logistic</w:t>
      </w:r>
      <w:r>
        <w:rPr>
          <w:rFonts w:ascii="Arial" w:cs="Arial" w:eastAsia="Arial" w:hAnsi="Arial"/>
          <w:sz w:val="20"/>
          <w:szCs w:val="20"/>
        </w:rPr>
        <w:t xml:space="preserve">	</w:t>
      </w:r>
      <w:r>
        <w:rPr>
          <w:rFonts w:ascii="Arial" w:cs="Arial" w:eastAsia="Arial" w:hAnsi="Arial"/>
          <w:i/>
          <w:iCs/>
          <w:color w:val="666666"/>
          <w:sz w:val="20"/>
          <w:szCs w:val="20"/>
        </w:rPr>
        <w:t xml:space="preserve">2024 – Actualidad</w:t>
      </w:r>
    </w:p>
    <w:p>
      <w:pPr>
        <w:spacing w:after="60"/>
      </w:pPr>
      <w:r>
        <w:rPr>
          <w:rFonts w:ascii="Arial" w:cs="Arial" w:eastAsia="Arial" w:hAnsi="Arial"/>
          <w:i/>
          <w:iCs/>
          <w:color w:val="666666"/>
          <w:sz w:val="18"/>
          <w:szCs w:val="18"/>
        </w:rPr>
        <w:t xml:space="preserve">Empresa internacional de courier especializada en operaciones de importación y exportación entre Estados Unidos y Costa Rica.</w:t>
      </w:r>
    </w:p>
    <w:p>
      <w:pPr>
        <w:pStyle w:val="ListParagraph"/>
        <w:numPr>
          <w:ilvl w:val="0"/>
          <w:numId w:val="2"/>
        </w:numPr>
        <w:spacing w:after="60"/>
      </w:pPr>
      <w:r>
        <w:rPr>
          <w:rFonts w:ascii="Arial" w:cs="Arial" w:eastAsia="Arial" w:hAnsi="Arial"/>
          <w:sz w:val="20"/>
          <w:szCs w:val="20"/>
        </w:rPr>
        <w:t xml:space="preserve">Dirige las operaciones integrales de cadena de suministro procesando más de 75,000 kg y 60,000 paquetes mensuales en la ruta EE.UU.–Costa Rica.</w:t>
      </w:r>
    </w:p>
    <w:p>
      <w:pPr>
        <w:pStyle w:val="ListParagraph"/>
        <w:numPr>
          <w:ilvl w:val="0"/>
          <w:numId w:val="2"/>
        </w:numPr>
        <w:spacing w:after="60"/>
      </w:pPr>
      <w:r>
        <w:rPr>
          <w:rFonts w:ascii="Arial" w:cs="Arial" w:eastAsia="Arial" w:hAnsi="Arial"/>
          <w:sz w:val="20"/>
          <w:szCs w:val="20"/>
        </w:rPr>
        <w:t xml:space="preserve">Supervisa la nacionalización completa de importaciones, despacho aduanero y entrega de última milla garantizando cumplimiento normativo y liberación oportuna.</w:t>
      </w:r>
    </w:p>
    <w:p>
      <w:pPr>
        <w:pStyle w:val="ListParagraph"/>
        <w:numPr>
          <w:ilvl w:val="0"/>
          <w:numId w:val="2"/>
        </w:numPr>
        <w:spacing w:after="60"/>
      </w:pPr>
      <w:r>
        <w:rPr>
          <w:rFonts w:ascii="Arial" w:cs="Arial" w:eastAsia="Arial" w:hAnsi="Arial"/>
          <w:sz w:val="20"/>
          <w:szCs w:val="20"/>
        </w:rPr>
        <w:t xml:space="preserve">Coordina diariamente más de 150 interacciones con clientes vía WhatsApp, liderando un equipo de 5 personas en atención al cliente y coordinación de entregas.</w:t>
      </w:r>
    </w:p>
    <w:p>
      <w:pPr>
        <w:pStyle w:val="ListParagraph"/>
        <w:numPr>
          <w:ilvl w:val="0"/>
          <w:numId w:val="2"/>
        </w:numPr>
        <w:spacing w:after="60"/>
      </w:pPr>
      <w:r>
        <w:rPr>
          <w:rFonts w:ascii="Arial" w:cs="Arial" w:eastAsia="Arial" w:hAnsi="Arial"/>
          <w:sz w:val="20"/>
          <w:szCs w:val="20"/>
        </w:rPr>
        <w:t xml:space="preserve">Gestiona escalaciones complejas y disputas regulatorias bajo Ley 7472 (Protección al Consumidor) coordinadas con el MEIC.</w:t>
      </w:r>
    </w:p>
    <w:p>
      <w:pPr>
        <w:pStyle w:val="ListParagraph"/>
        <w:numPr>
          <w:ilvl w:val="0"/>
          <w:numId w:val="2"/>
        </w:numPr>
        <w:spacing w:after="60"/>
      </w:pPr>
      <w:r>
        <w:rPr>
          <w:rFonts w:ascii="Arial" w:cs="Arial" w:eastAsia="Arial" w:hAnsi="Arial"/>
          <w:sz w:val="20"/>
          <w:szCs w:val="20"/>
        </w:rPr>
        <w:t xml:space="preserve">Dirige relaciones con proveedores y transportistas, negociando contratos y horarios para optimizar la relación costo-servicio.</w:t>
      </w:r>
    </w:p>
    <w:p>
      <w:pPr>
        <w:pStyle w:val="ListParagraph"/>
        <w:numPr>
          <w:ilvl w:val="0"/>
          <w:numId w:val="2"/>
        </w:numPr>
        <w:spacing w:after="60"/>
      </w:pPr>
      <w:r>
        <w:rPr>
          <w:rFonts w:ascii="Arial" w:cs="Arial" w:eastAsia="Arial" w:hAnsi="Arial"/>
          <w:sz w:val="20"/>
          <w:szCs w:val="20"/>
        </w:rPr>
        <w:t xml:space="preserve">Implementa sistemas de control de inventario e indicadores operativos para reducir excedentes y mejorar la precisión de pronósticos.</w:t>
      </w:r>
    </w:p>
    <w:p>
      <w:pPr>
        <w:pStyle w:val="ListParagraph"/>
        <w:numPr>
          <w:ilvl w:val="0"/>
          <w:numId w:val="2"/>
        </w:numPr>
        <w:spacing w:after="60"/>
      </w:pPr>
      <w:r>
        <w:rPr>
          <w:rFonts w:ascii="Arial" w:cs="Arial" w:eastAsia="Arial" w:hAnsi="Arial"/>
          <w:sz w:val="20"/>
          <w:szCs w:val="20"/>
        </w:rPr>
        <w:t xml:space="preserve">Aplica principios Lean y Six Sigma para identificar ineficiencias y desplegar iniciativas de mejora continua.</w:t>
      </w:r>
    </w:p>
    <w:p>
      <w:pPr>
        <w:tabs>
          <w:tab w:val="right" w:pos="9026"/>
        </w:tabs>
        <w:spacing w:after="40" w:before="160"/>
      </w:pPr>
      <w:r>
        <w:rPr>
          <w:rFonts w:ascii="Arial" w:cs="Arial" w:eastAsia="Arial" w:hAnsi="Arial"/>
          <w:b/>
          <w:bCs/>
          <w:color w:val="1F4E79"/>
          <w:sz w:val="22"/>
          <w:szCs w:val="22"/>
        </w:rPr>
        <w:t xml:space="preserve">Scrum Master / Project Manager</w:t>
      </w:r>
      <w:r>
        <w:rPr>
          <w:rFonts w:ascii="Arial" w:cs="Arial" w:eastAsia="Arial" w:hAnsi="Arial"/>
          <w:color w:val="888888"/>
          <w:sz w:val="20"/>
          <w:szCs w:val="20"/>
        </w:rPr>
        <w:t xml:space="preserve">  |  </w:t>
      </w:r>
      <w:r>
        <w:rPr>
          <w:rFonts w:ascii="Arial" w:cs="Arial" w:eastAsia="Arial" w:hAnsi="Arial"/>
          <w:b/>
          <w:bCs/>
          <w:sz w:val="20"/>
          <w:szCs w:val="20"/>
        </w:rPr>
        <w:t xml:space="preserve">Marketsource SRL</w:t>
      </w:r>
      <w:r>
        <w:rPr>
          <w:rFonts w:ascii="Arial" w:cs="Arial" w:eastAsia="Arial" w:hAnsi="Arial"/>
          <w:sz w:val="20"/>
          <w:szCs w:val="20"/>
        </w:rPr>
        <w:t xml:space="preserve">	</w:t>
      </w:r>
      <w:r>
        <w:rPr>
          <w:rFonts w:ascii="Arial" w:cs="Arial" w:eastAsia="Arial" w:hAnsi="Arial"/>
          <w:i/>
          <w:iCs/>
          <w:color w:val="666666"/>
          <w:sz w:val="20"/>
          <w:szCs w:val="20"/>
        </w:rPr>
        <w:t xml:space="preserve">2023 – 2024</w:t>
      </w:r>
    </w:p>
    <w:p>
      <w:pPr>
        <w:spacing w:after="60"/>
      </w:pPr>
      <w:r>
        <w:rPr>
          <w:rFonts w:ascii="Arial" w:cs="Arial" w:eastAsia="Arial" w:hAnsi="Arial"/>
          <w:i/>
          <w:iCs/>
          <w:color w:val="666666"/>
          <w:sz w:val="18"/>
          <w:szCs w:val="18"/>
        </w:rPr>
        <w:t xml:space="preserve">Empresa de tecnología; proyecto: desarrollo de infraestructura financiera y plataforma de procesamiento de pagos.</w:t>
      </w:r>
    </w:p>
    <w:p>
      <w:pPr>
        <w:pStyle w:val="ListParagraph"/>
        <w:numPr>
          <w:ilvl w:val="0"/>
          <w:numId w:val="2"/>
        </w:numPr>
        <w:spacing w:after="60"/>
      </w:pPr>
      <w:r>
        <w:rPr>
          <w:rFonts w:ascii="Arial" w:cs="Arial" w:eastAsia="Arial" w:hAnsi="Arial"/>
          <w:sz w:val="20"/>
          <w:szCs w:val="20"/>
        </w:rPr>
        <w:t xml:space="preserve">Lideró 3 equipos multifuncionales de desarrollo (15 personas) en la construcción de una infraestructura financiera y plataforma de pagos.</w:t>
      </w:r>
    </w:p>
    <w:p>
      <w:pPr>
        <w:pStyle w:val="ListParagraph"/>
        <w:numPr>
          <w:ilvl w:val="0"/>
          <w:numId w:val="2"/>
        </w:numPr>
        <w:spacing w:after="60"/>
      </w:pPr>
      <w:r>
        <w:rPr>
          <w:rFonts w:ascii="Arial" w:cs="Arial" w:eastAsia="Arial" w:hAnsi="Arial"/>
          <w:sz w:val="20"/>
          <w:szCs w:val="20"/>
        </w:rPr>
        <w:t xml:space="preserve">Implementó metodologías ágiles (Scrum y Kanban), logrando un aumento del 95% en la eficiencia medida del equipo.</w:t>
      </w:r>
    </w:p>
    <w:p>
      <w:pPr>
        <w:pStyle w:val="ListParagraph"/>
        <w:numPr>
          <w:ilvl w:val="0"/>
          <w:numId w:val="2"/>
        </w:numPr>
        <w:spacing w:after="60"/>
      </w:pPr>
      <w:r>
        <w:rPr>
          <w:rFonts w:ascii="Arial" w:cs="Arial" w:eastAsia="Arial" w:hAnsi="Arial"/>
          <w:sz w:val="20"/>
          <w:szCs w:val="20"/>
        </w:rPr>
        <w:t xml:space="preserve">Gestionó el ciclo completo de sprints: refinamiento de backlog, estimación, planificación, daily stand-ups, reviews y retrospectivas.</w:t>
      </w:r>
    </w:p>
    <w:p>
      <w:pPr>
        <w:pStyle w:val="ListParagraph"/>
        <w:numPr>
          <w:ilvl w:val="0"/>
          <w:numId w:val="2"/>
        </w:numPr>
        <w:spacing w:after="60"/>
      </w:pPr>
      <w:r>
        <w:rPr>
          <w:rFonts w:ascii="Arial" w:cs="Arial" w:eastAsia="Arial" w:hAnsi="Arial"/>
          <w:sz w:val="20"/>
          <w:szCs w:val="20"/>
        </w:rPr>
        <w:t xml:space="preserve">Monitorizó el desempeño mediante métricas ágiles (velocidad, burndown charts, cycle time) para impulsar la optimización de procesos.</w:t>
      </w:r>
    </w:p>
    <w:p>
      <w:pPr>
        <w:pStyle w:val="ListParagraph"/>
        <w:numPr>
          <w:ilvl w:val="0"/>
          <w:numId w:val="2"/>
        </w:numPr>
        <w:spacing w:after="60"/>
      </w:pPr>
      <w:r>
        <w:rPr>
          <w:rFonts w:ascii="Arial" w:cs="Arial" w:eastAsia="Arial" w:hAnsi="Arial"/>
          <w:sz w:val="20"/>
          <w:szCs w:val="20"/>
        </w:rPr>
        <w:t xml:space="preserve">Capacitó y mentoreó a miembros del equipo en prácticas ágiles, resolución de conflictos y patrones de trabajo colaborativo.</w:t>
      </w:r>
    </w:p>
    <w:p>
      <w:pPr>
        <w:tabs>
          <w:tab w:val="right" w:pos="9026"/>
        </w:tabs>
        <w:spacing w:after="40" w:before="160"/>
      </w:pPr>
      <w:r>
        <w:rPr>
          <w:rFonts w:ascii="Arial" w:cs="Arial" w:eastAsia="Arial" w:hAnsi="Arial"/>
          <w:b/>
          <w:bCs/>
          <w:color w:val="1F4E79"/>
          <w:sz w:val="22"/>
          <w:szCs w:val="22"/>
        </w:rPr>
        <w:t xml:space="preserve">Especialista en Preautorizaciones y Admisiones</w:t>
      </w:r>
      <w:r>
        <w:rPr>
          <w:rFonts w:ascii="Arial" w:cs="Arial" w:eastAsia="Arial" w:hAnsi="Arial"/>
          <w:color w:val="888888"/>
          <w:sz w:val="20"/>
          <w:szCs w:val="20"/>
        </w:rPr>
        <w:t xml:space="preserve">  |  </w:t>
      </w:r>
      <w:r>
        <w:rPr>
          <w:rFonts w:ascii="Arial" w:cs="Arial" w:eastAsia="Arial" w:hAnsi="Arial"/>
          <w:b/>
          <w:bCs/>
          <w:sz w:val="20"/>
          <w:szCs w:val="20"/>
        </w:rPr>
        <w:t xml:space="preserve">UCB Inc.</w:t>
      </w:r>
      <w:r>
        <w:rPr>
          <w:rFonts w:ascii="Arial" w:cs="Arial" w:eastAsia="Arial" w:hAnsi="Arial"/>
          <w:sz w:val="20"/>
          <w:szCs w:val="20"/>
        </w:rPr>
        <w:t xml:space="preserve">	</w:t>
      </w:r>
      <w:r>
        <w:rPr>
          <w:rFonts w:ascii="Arial" w:cs="Arial" w:eastAsia="Arial" w:hAnsi="Arial"/>
          <w:i/>
          <w:iCs/>
          <w:color w:val="666666"/>
          <w:sz w:val="20"/>
          <w:szCs w:val="20"/>
        </w:rPr>
        <w:t xml:space="preserve">2021 – 2023</w:t>
      </w:r>
    </w:p>
    <w:p>
      <w:pPr>
        <w:spacing w:after="60"/>
      </w:pPr>
      <w:r>
        <w:rPr>
          <w:rFonts w:ascii="Arial" w:cs="Arial" w:eastAsia="Arial" w:hAnsi="Arial"/>
          <w:i/>
          <w:iCs/>
          <w:color w:val="666666"/>
          <w:sz w:val="18"/>
          <w:szCs w:val="18"/>
        </w:rPr>
        <w:t xml:space="preserve">Especialista remoto en preautorizaciones de seguros para Cleveland Clinic Florida — operación íntegramente en inglés desde Costa Rica.</w:t>
      </w:r>
    </w:p>
    <w:p>
      <w:pPr>
        <w:pStyle w:val="ListParagraph"/>
        <w:numPr>
          <w:ilvl w:val="0"/>
          <w:numId w:val="2"/>
        </w:numPr>
        <w:spacing w:after="60"/>
      </w:pPr>
      <w:r>
        <w:rPr>
          <w:rFonts w:ascii="Arial" w:cs="Arial" w:eastAsia="Arial" w:hAnsi="Arial"/>
          <w:sz w:val="20"/>
          <w:szCs w:val="20"/>
        </w:rPr>
        <w:t xml:space="preserve">Processó alto volumen de casos de preautorización de seguros médicos diariamente, cumpliendo y superando cuotas individuales y metas mensuales para acceder a bonos por desempeño.</w:t>
      </w:r>
    </w:p>
    <w:p>
      <w:pPr>
        <w:pStyle w:val="ListParagraph"/>
        <w:numPr>
          <w:ilvl w:val="0"/>
          <w:numId w:val="2"/>
        </w:numPr>
        <w:spacing w:after="60"/>
      </w:pPr>
      <w:r>
        <w:rPr>
          <w:rFonts w:ascii="Arial" w:cs="Arial" w:eastAsia="Arial" w:hAnsi="Arial"/>
          <w:sz w:val="20"/>
          <w:szCs w:val="20"/>
        </w:rPr>
        <w:t xml:space="preserve">Coordinó con aseguradoras, equipos clínicos y servicios al paciente para garantizar aprobaciones de admisión oportunas en un entorno de cumplimiento normativo estricto.</w:t>
      </w:r>
    </w:p>
    <w:p>
      <w:pPr>
        <w:pStyle w:val="ListParagraph"/>
        <w:numPr>
          <w:ilvl w:val="0"/>
          <w:numId w:val="2"/>
        </w:numPr>
        <w:spacing w:after="60"/>
      </w:pPr>
      <w:r>
        <w:rPr>
          <w:rFonts w:ascii="Arial" w:cs="Arial" w:eastAsia="Arial" w:hAnsi="Arial"/>
          <w:sz w:val="20"/>
          <w:szCs w:val="20"/>
        </w:rPr>
        <w:t xml:space="preserve">Operó 100% de forma remota en inglés dentro del sistema de salud estadounidense, gestionando regulaciones complejas de seguros y flujos de trabajo multisectoriales.</w:t>
      </w:r>
    </w:p>
    <w:p>
      <w:pPr>
        <w:pStyle w:val="ListParagraph"/>
        <w:numPr>
          <w:ilvl w:val="0"/>
          <w:numId w:val="2"/>
        </w:numPr>
        <w:spacing w:after="60"/>
      </w:pPr>
      <w:r>
        <w:rPr>
          <w:rFonts w:ascii="Arial" w:cs="Arial" w:eastAsia="Arial" w:hAnsi="Arial"/>
          <w:sz w:val="20"/>
          <w:szCs w:val="20"/>
        </w:rPr>
        <w:t xml:space="preserve">Mantuvo estándares de precisión y tiempos de respuesta alineados con los indicadores de calidad de Cleveland Clinic.</w:t>
      </w:r>
    </w:p>
    <w:p>
      <w:pPr>
        <w:tabs>
          <w:tab w:val="right" w:pos="9026"/>
        </w:tabs>
        <w:spacing w:after="40" w:before="160"/>
      </w:pPr>
      <w:r>
        <w:rPr>
          <w:rFonts w:ascii="Arial" w:cs="Arial" w:eastAsia="Arial" w:hAnsi="Arial"/>
          <w:b/>
          <w:bCs/>
          <w:color w:val="1F4E79"/>
          <w:sz w:val="22"/>
          <w:szCs w:val="22"/>
        </w:rPr>
        <w:t xml:space="preserve">Representante de Servicio al Cliente</w:t>
      </w:r>
      <w:r>
        <w:rPr>
          <w:rFonts w:ascii="Arial" w:cs="Arial" w:eastAsia="Arial" w:hAnsi="Arial"/>
          <w:color w:val="888888"/>
          <w:sz w:val="20"/>
          <w:szCs w:val="20"/>
        </w:rPr>
        <w:t xml:space="preserve">  |  </w:t>
      </w:r>
      <w:r>
        <w:rPr>
          <w:rFonts w:ascii="Arial" w:cs="Arial" w:eastAsia="Arial" w:hAnsi="Arial"/>
          <w:b/>
          <w:bCs/>
          <w:sz w:val="20"/>
          <w:szCs w:val="20"/>
        </w:rPr>
        <w:t xml:space="preserve">Farmacia (Retail)</w:t>
      </w:r>
      <w:r>
        <w:rPr>
          <w:rFonts w:ascii="Arial" w:cs="Arial" w:eastAsia="Arial" w:hAnsi="Arial"/>
          <w:sz w:val="20"/>
          <w:szCs w:val="20"/>
        </w:rPr>
        <w:t xml:space="preserve">	</w:t>
      </w:r>
      <w:r>
        <w:rPr>
          <w:rFonts w:ascii="Arial" w:cs="Arial" w:eastAsia="Arial" w:hAnsi="Arial"/>
          <w:i/>
          <w:iCs/>
          <w:color w:val="666666"/>
          <w:sz w:val="20"/>
          <w:szCs w:val="20"/>
        </w:rPr>
        <w:t xml:space="preserve">2019 – 2021</w:t>
      </w:r>
    </w:p>
    <w:p>
      <w:pPr>
        <w:spacing w:after="60"/>
      </w:pPr>
      <w:r>
        <w:rPr>
          <w:rFonts w:ascii="Arial" w:cs="Arial" w:eastAsia="Arial" w:hAnsi="Arial"/>
          <w:i/>
          <w:iCs/>
          <w:color w:val="666666"/>
          <w:sz w:val="18"/>
          <w:szCs w:val="18"/>
        </w:rPr>
        <w:t xml:space="preserve">Atención directa al cliente en ambiente farmacéutico de alto tráfico.</w:t>
      </w:r>
    </w:p>
    <w:p>
      <w:pPr>
        <w:pStyle w:val="ListParagraph"/>
        <w:numPr>
          <w:ilvl w:val="0"/>
          <w:numId w:val="2"/>
        </w:numPr>
        <w:spacing w:after="60"/>
      </w:pPr>
      <w:r>
        <w:rPr>
          <w:rFonts w:ascii="Arial" w:cs="Arial" w:eastAsia="Arial" w:hAnsi="Arial"/>
          <w:sz w:val="20"/>
          <w:szCs w:val="20"/>
        </w:rPr>
        <w:t xml:space="preserve">Brindó atención al cliente en entorno de alto volumen, gestionando transacciones, consultas y resolución de quejas.</w:t>
      </w:r>
    </w:p>
    <w:p>
      <w:pPr>
        <w:pBdr>
          <w:bottom w:val="single" w:color="2E75B6" w:sz="6" w:space="1"/>
        </w:pBdr>
        <w:spacing w:after="60" w:before="240"/>
      </w:pPr>
      <w:r>
        <w:rPr>
          <w:rFonts w:ascii="Arial" w:cs="Arial" w:eastAsia="Arial" w:hAnsi="Arial"/>
          <w:b/>
          <w:bCs/>
          <w:color w:val="1F4E79"/>
          <w:sz w:val="22"/>
          <w:szCs w:val="22"/>
        </w:rPr>
        <w:t xml:space="preserve">EDUCACIÓN</w:t>
      </w:r>
    </w:p>
    <w:p>
      <w:pPr>
        <w:tabs>
          <w:tab w:val="right" w:pos="9026"/>
        </w:tabs>
        <w:spacing w:after="40" w:before="100"/>
      </w:pPr>
      <w:r>
        <w:rPr>
          <w:rFonts w:ascii="Arial" w:cs="Arial" w:eastAsia="Arial" w:hAnsi="Arial"/>
          <w:b/>
          <w:bCs/>
          <w:sz w:val="20"/>
          <w:szCs w:val="20"/>
        </w:rPr>
        <w:t xml:space="preserve">Maestría en Gestión Logística</w:t>
      </w:r>
      <w:r>
        <w:rPr>
          <w:rFonts w:ascii="Arial" w:cs="Arial" w:eastAsia="Arial" w:hAnsi="Arial"/>
          <w:color w:val="888888"/>
          <w:sz w:val="20"/>
          <w:szCs w:val="20"/>
        </w:rPr>
        <w:t xml:space="preserve">  —  </w:t>
      </w:r>
      <w:r>
        <w:rPr>
          <w:rFonts w:ascii="Arial" w:cs="Arial" w:eastAsia="Arial" w:hAnsi="Arial"/>
          <w:sz w:val="20"/>
          <w:szCs w:val="20"/>
        </w:rPr>
        <w:t xml:space="preserve">ULACIT / Universidad Latina</w:t>
      </w:r>
      <w:r>
        <w:rPr>
          <w:rFonts w:ascii="Arial" w:cs="Arial" w:eastAsia="Arial" w:hAnsi="Arial"/>
          <w:sz w:val="20"/>
          <w:szCs w:val="20"/>
        </w:rPr>
        <w:t xml:space="preserve">	</w:t>
      </w:r>
      <w:r>
        <w:rPr>
          <w:rFonts w:ascii="Arial" w:cs="Arial" w:eastAsia="Arial" w:hAnsi="Arial"/>
          <w:i/>
          <w:iCs/>
          <w:color w:val="666666"/>
          <w:sz w:val="20"/>
          <w:szCs w:val="20"/>
        </w:rPr>
        <w:t xml:space="preserve">2027–2028 (proyectado)</w:t>
      </w:r>
    </w:p>
    <w:p>
      <w:pPr>
        <w:tabs>
          <w:tab w:val="right" w:pos="9026"/>
        </w:tabs>
        <w:spacing w:after="40" w:before="100"/>
      </w:pPr>
      <w:r>
        <w:rPr>
          <w:rFonts w:ascii="Arial" w:cs="Arial" w:eastAsia="Arial" w:hAnsi="Arial"/>
          <w:b/>
          <w:bCs/>
          <w:sz w:val="20"/>
          <w:szCs w:val="20"/>
        </w:rPr>
        <w:t xml:space="preserve">Licenciatura en Ingeniería Industrial</w:t>
      </w:r>
      <w:r>
        <w:rPr>
          <w:rFonts w:ascii="Arial" w:cs="Arial" w:eastAsia="Arial" w:hAnsi="Arial"/>
          <w:color w:val="888888"/>
          <w:sz w:val="20"/>
          <w:szCs w:val="20"/>
        </w:rPr>
        <w:t xml:space="preserve">  —  </w:t>
      </w:r>
      <w:r>
        <w:rPr>
          <w:rFonts w:ascii="Arial" w:cs="Arial" w:eastAsia="Arial" w:hAnsi="Arial"/>
          <w:sz w:val="20"/>
          <w:szCs w:val="20"/>
        </w:rPr>
        <w:t xml:space="preserve">Universidad Castro Carazo</w:t>
      </w:r>
      <w:r>
        <w:rPr>
          <w:rFonts w:ascii="Arial" w:cs="Arial" w:eastAsia="Arial" w:hAnsi="Arial"/>
          <w:sz w:val="20"/>
          <w:szCs w:val="20"/>
        </w:rPr>
        <w:t xml:space="preserve">	</w:t>
      </w:r>
      <w:r>
        <w:rPr>
          <w:rFonts w:ascii="Arial" w:cs="Arial" w:eastAsia="Arial" w:hAnsi="Arial"/>
          <w:i/>
          <w:iCs/>
          <w:color w:val="666666"/>
          <w:sz w:val="20"/>
          <w:szCs w:val="20"/>
        </w:rPr>
        <w:t xml:space="preserve">2026–2027 (proyectado)</w:t>
      </w:r>
    </w:p>
    <w:p>
      <w:pPr>
        <w:tabs>
          <w:tab w:val="right" w:pos="9026"/>
        </w:tabs>
        <w:spacing w:after="40" w:before="100"/>
      </w:pPr>
      <w:r>
        <w:rPr>
          <w:rFonts w:ascii="Arial" w:cs="Arial" w:eastAsia="Arial" w:hAnsi="Arial"/>
          <w:b/>
          <w:bCs/>
          <w:sz w:val="20"/>
          <w:szCs w:val="20"/>
        </w:rPr>
        <w:t xml:space="preserve">Formación en Liderazgo, Ética y Comunicación</w:t>
      </w:r>
      <w:r>
        <w:rPr>
          <w:rFonts w:ascii="Arial" w:cs="Arial" w:eastAsia="Arial" w:hAnsi="Arial"/>
          <w:color w:val="888888"/>
          <w:sz w:val="20"/>
          <w:szCs w:val="20"/>
        </w:rPr>
        <w:t xml:space="preserve">  —  </w:t>
      </w:r>
      <w:r>
        <w:rPr>
          <w:rFonts w:ascii="Arial" w:cs="Arial" w:eastAsia="Arial" w:hAnsi="Arial"/>
          <w:sz w:val="20"/>
          <w:szCs w:val="20"/>
        </w:rPr>
        <w:t xml:space="preserve">Seminario Nacional de Costa Rica</w:t>
      </w:r>
      <w:r>
        <w:rPr>
          <w:rFonts w:ascii="Arial" w:cs="Arial" w:eastAsia="Arial" w:hAnsi="Arial"/>
          <w:sz w:val="20"/>
          <w:szCs w:val="20"/>
        </w:rPr>
        <w:t xml:space="preserve">	</w:t>
      </w:r>
      <w:r>
        <w:rPr>
          <w:rFonts w:ascii="Arial" w:cs="Arial" w:eastAsia="Arial" w:hAnsi="Arial"/>
          <w:i/>
          <w:iCs/>
          <w:color w:val="666666"/>
          <w:sz w:val="20"/>
          <w:szCs w:val="20"/>
        </w:rPr>
        <w:t xml:space="preserve">2013–2019</w:t>
      </w:r>
    </w:p>
    <w:p>
      <w:pPr>
        <w:tabs>
          <w:tab w:val="right" w:pos="9026"/>
        </w:tabs>
        <w:spacing w:after="40" w:before="100"/>
      </w:pPr>
      <w:r>
        <w:rPr>
          <w:rFonts w:ascii="Arial" w:cs="Arial" w:eastAsia="Arial" w:hAnsi="Arial"/>
          <w:b/>
          <w:bCs/>
          <w:sz w:val="20"/>
          <w:szCs w:val="20"/>
        </w:rPr>
        <w:t xml:space="preserve">Bachillerato en Filosofía y Humanidades</w:t>
      </w:r>
      <w:r>
        <w:rPr>
          <w:rFonts w:ascii="Arial" w:cs="Arial" w:eastAsia="Arial" w:hAnsi="Arial"/>
          <w:color w:val="888888"/>
          <w:sz w:val="20"/>
          <w:szCs w:val="20"/>
        </w:rPr>
        <w:t xml:space="preserve">  —  </w:t>
      </w:r>
      <w:r>
        <w:rPr>
          <w:rFonts w:ascii="Arial" w:cs="Arial" w:eastAsia="Arial" w:hAnsi="Arial"/>
          <w:sz w:val="20"/>
          <w:szCs w:val="20"/>
        </w:rPr>
        <w:t xml:space="preserve">Universidad Católica de Costa Rica</w:t>
      </w:r>
      <w:r>
        <w:rPr>
          <w:rFonts w:ascii="Arial" w:cs="Arial" w:eastAsia="Arial" w:hAnsi="Arial"/>
          <w:sz w:val="20"/>
          <w:szCs w:val="20"/>
        </w:rPr>
        <w:t xml:space="preserve">	</w:t>
      </w:r>
      <w:r>
        <w:rPr>
          <w:rFonts w:ascii="Arial" w:cs="Arial" w:eastAsia="Arial" w:hAnsi="Arial"/>
          <w:i/>
          <w:iCs/>
          <w:color w:val="666666"/>
          <w:sz w:val="20"/>
          <w:szCs w:val="20"/>
        </w:rPr>
        <w:t xml:space="preserve">2014–2017</w:t>
      </w:r>
    </w:p>
    <w:p>
      <w:pPr>
        <w:spacing w:after="60"/>
      </w:pPr>
    </w:p>
    <w:p>
      <w:pPr>
        <w:pBdr>
          <w:bottom w:val="single" w:color="2E75B6" w:sz="6" w:space="1"/>
        </w:pBdr>
        <w:spacing w:after="60" w:before="240"/>
      </w:pPr>
      <w:r>
        <w:rPr>
          <w:rFonts w:ascii="Arial" w:cs="Arial" w:eastAsia="Arial" w:hAnsi="Arial"/>
          <w:b/>
          <w:bCs/>
          <w:color w:val="1F4E79"/>
          <w:sz w:val="22"/>
          <w:szCs w:val="22"/>
        </w:rPr>
        <w:t xml:space="preserve">CERTIFICACIONES</w:t>
      </w:r>
    </w:p>
    <w:p>
      <w:pPr>
        <w:pStyle w:val="ListParagraph"/>
        <w:numPr>
          <w:ilvl w:val="0"/>
          <w:numId w:val="2"/>
        </w:numPr>
        <w:spacing w:after="50"/>
      </w:pPr>
      <w:r>
        <w:rPr>
          <w:rFonts w:ascii="Arial" w:cs="Arial" w:eastAsia="Arial" w:hAnsi="Arial"/>
          <w:sz w:val="20"/>
          <w:szCs w:val="20"/>
        </w:rPr>
        <w:t xml:space="preserve">Scrum Master — International Scrum Institute</w:t>
      </w:r>
    </w:p>
    <w:p>
      <w:pPr>
        <w:pStyle w:val="ListParagraph"/>
        <w:numPr>
          <w:ilvl w:val="0"/>
          <w:numId w:val="2"/>
        </w:numPr>
        <w:spacing w:after="50"/>
      </w:pPr>
      <w:r>
        <w:rPr>
          <w:rFonts w:ascii="Arial" w:cs="Arial" w:eastAsia="Arial" w:hAnsi="Arial"/>
          <w:sz w:val="20"/>
          <w:szCs w:val="20"/>
        </w:rPr>
        <w:t xml:space="preserve">Certificado en Gestión de Proyectos — Google</w:t>
      </w:r>
    </w:p>
    <w:p>
      <w:pPr>
        <w:pStyle w:val="ListParagraph"/>
        <w:numPr>
          <w:ilvl w:val="0"/>
          <w:numId w:val="2"/>
        </w:numPr>
        <w:spacing w:after="50"/>
      </w:pPr>
      <w:r>
        <w:rPr>
          <w:rFonts w:ascii="Arial" w:cs="Arial" w:eastAsia="Arial" w:hAnsi="Arial"/>
          <w:sz w:val="20"/>
          <w:szCs w:val="20"/>
        </w:rPr>
        <w:t xml:space="preserve">Analista de Inteligencia de Negocios — Google</w:t>
      </w:r>
    </w:p>
    <w:p>
      <w:pPr>
        <w:spacing w:after="60"/>
      </w:pPr>
    </w:p>
    <w:p>
      <w:pPr>
        <w:pBdr>
          <w:bottom w:val="single" w:color="2E75B6" w:sz="6" w:space="1"/>
        </w:pBdr>
        <w:spacing w:after="60" w:before="240"/>
      </w:pPr>
      <w:r>
        <w:rPr>
          <w:rFonts w:ascii="Arial" w:cs="Arial" w:eastAsia="Arial" w:hAnsi="Arial"/>
          <w:b/>
          <w:bCs/>
          <w:color w:val="1F4E79"/>
          <w:sz w:val="22"/>
          <w:szCs w:val="22"/>
        </w:rPr>
        <w:t xml:space="preserve">IDIOMAS</w:t>
      </w:r>
    </w:p>
    <w:p>
      <w:pPr>
        <w:spacing w:after="120"/>
      </w:pPr>
      <w:r>
        <w:rPr>
          <w:rFonts w:ascii="Arial" w:cs="Arial" w:eastAsia="Arial" w:hAnsi="Arial"/>
          <w:sz w:val="20"/>
          <w:szCs w:val="20"/>
        </w:rPr>
        <w:t xml:space="preserve">Español (Nativo)  •  Inglés (C1 — Avanzado)  •  Italiano (A2)  •  Francés (A1)</w:t>
      </w:r>
    </w:p>
    <w:p>
      <w:pPr>
        <w:pBdr>
          <w:bottom w:val="single" w:color="2E75B6" w:sz="6" w:space="1"/>
        </w:pBdr>
        <w:spacing w:after="60" w:before="240"/>
      </w:pPr>
      <w:r>
        <w:rPr>
          <w:rFonts w:ascii="Arial" w:cs="Arial" w:eastAsia="Arial" w:hAnsi="Arial"/>
          <w:b/>
          <w:bCs/>
          <w:color w:val="1F4E79"/>
          <w:sz w:val="22"/>
          <w:szCs w:val="22"/>
        </w:rPr>
        <w:t xml:space="preserve">HERRAMIENTAS Y HABILIDADES TÉCNICAS</w:t>
      </w:r>
    </w:p>
    <w:p>
      <w:pPr>
        <w:spacing w:after="120"/>
      </w:pPr>
      <w:r>
        <w:rPr>
          <w:rFonts w:ascii="Arial" w:cs="Arial" w:eastAsia="Arial" w:hAnsi="Arial"/>
          <w:sz w:val="20"/>
          <w:szCs w:val="20"/>
        </w:rPr>
        <w:t xml:space="preserve">Microsoft Office Suite (Excel avanzado)  •  Jira, Trello, Asana  •  Google Workspace  •  Plataformas CRM y Servicio al Cliente  •  Sistemas de Logística y Gestión Aduanera  •  Sistemas de Autorización de Seguros Médicos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2026-05-13T23:52:05.748Z</dcterms:created>
  <dcterms:modified xsi:type="dcterms:W3CDTF">2026-05-13T23:52:05.748Z</dcterms:modified>
</cp:coreProperties>
</file>

<file path=docProps/custom.xml><?xml version="1.0" encoding="utf-8"?>
<Properties xmlns="http://schemas.openxmlformats.org/officeDocument/2006/custom-properties" xmlns:vt="http://schemas.openxmlformats.org/officeDocument/2006/docPropsVTypes"/>
</file>